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Calibri" w:hAnsi="Calibri" w:eastAsia="黑体" w:cs="Calibri"/>
          <w:i w:val="0"/>
          <w:iCs w:val="0"/>
          <w:caps w:val="0"/>
          <w:color w:val="000000"/>
          <w:spacing w:val="0"/>
          <w:sz w:val="24"/>
          <w:szCs w:val="24"/>
          <w:lang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shd w:val="clear" w:fill="FFFFFF"/>
          <w:lang w:val="en-US" w:eastAsia="zh-CN"/>
        </w:rPr>
      </w:pPr>
      <w:r>
        <w:rPr>
          <w:rFonts w:hint="eastAsia" w:ascii="黑体" w:hAnsi="黑体" w:eastAsia="黑体" w:cs="黑体"/>
          <w:i w:val="0"/>
          <w:iCs w:val="0"/>
          <w:caps w:val="0"/>
          <w:color w:val="000000"/>
          <w:spacing w:val="0"/>
          <w:sz w:val="44"/>
          <w:szCs w:val="44"/>
          <w:shd w:val="clear" w:fill="FFFFFF"/>
          <w:lang w:val="en-US" w:eastAsia="zh-CN"/>
        </w:rPr>
        <w:t>2021年林业重大有害生物防治专项经费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rPr>
      </w:pPr>
      <w:r>
        <w:rPr>
          <w:rFonts w:hint="eastAsia" w:ascii="黑体" w:hAnsi="黑体" w:eastAsia="黑体" w:cs="黑体"/>
          <w:i w:val="0"/>
          <w:iCs w:val="0"/>
          <w:caps w:val="0"/>
          <w:color w:val="000000"/>
          <w:spacing w:val="0"/>
          <w:sz w:val="44"/>
          <w:szCs w:val="44"/>
          <w:shd w:val="clear" w:fill="FFFFFF"/>
        </w:rPr>
        <w:t>项目绩效自评报告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楷体" w:hAnsi="楷体" w:eastAsia="楷体" w:cs="楷体"/>
          <w:i w:val="0"/>
          <w:iCs w:val="0"/>
          <w:caps w:val="0"/>
          <w:color w:val="000000"/>
          <w:spacing w:val="0"/>
          <w:sz w:val="32"/>
          <w:szCs w:val="32"/>
          <w:shd w:val="clear" w:fill="FFFFFF"/>
          <w:lang w:eastAsia="zh-CN"/>
        </w:rPr>
      </w:pPr>
      <w:r>
        <w:rPr>
          <w:rFonts w:hint="eastAsia" w:ascii="楷体" w:hAnsi="楷体" w:eastAsia="楷体" w:cs="楷体"/>
          <w:i w:val="0"/>
          <w:iCs w:val="0"/>
          <w:caps w:val="0"/>
          <w:color w:val="000000"/>
          <w:spacing w:val="0"/>
          <w:sz w:val="32"/>
          <w:szCs w:val="32"/>
          <w:shd w:val="clear" w:fill="FFFFFF"/>
          <w:lang w:eastAsia="zh-CN"/>
        </w:rPr>
        <w:t>（</w:t>
      </w:r>
      <w:r>
        <w:rPr>
          <w:rFonts w:hint="eastAsia" w:ascii="楷体" w:hAnsi="楷体" w:eastAsia="楷体" w:cs="楷体"/>
          <w:i w:val="0"/>
          <w:iCs w:val="0"/>
          <w:caps w:val="0"/>
          <w:color w:val="000000"/>
          <w:spacing w:val="0"/>
          <w:sz w:val="32"/>
          <w:szCs w:val="32"/>
          <w:shd w:val="clear" w:fill="FFFFFF"/>
          <w:lang w:val="en-US" w:eastAsia="zh-CN"/>
        </w:rPr>
        <w:t>绥宁县</w:t>
      </w:r>
      <w:r>
        <w:rPr>
          <w:rFonts w:hint="eastAsia" w:ascii="楷体" w:hAnsi="楷体" w:eastAsia="楷体" w:cs="楷体"/>
          <w:color w:val="000000"/>
          <w:kern w:val="0"/>
          <w:sz w:val="32"/>
          <w:szCs w:val="32"/>
          <w:lang w:val="en-US" w:eastAsia="zh-CN" w:bidi="ar"/>
        </w:rPr>
        <w:t>林业局</w:t>
      </w:r>
      <w:r>
        <w:rPr>
          <w:rFonts w:hint="eastAsia" w:ascii="楷体" w:hAnsi="楷体" w:eastAsia="楷体" w:cs="楷体"/>
          <w:i w:val="0"/>
          <w:iCs w:val="0"/>
          <w:caps w:val="0"/>
          <w:color w:val="000000"/>
          <w:spacing w:val="0"/>
          <w:sz w:val="32"/>
          <w:szCs w:val="32"/>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default" w:ascii="黑体" w:hAnsi="黑体" w:eastAsia="黑体" w:cs="黑体"/>
          <w:i w:val="0"/>
          <w:iCs w:val="0"/>
          <w:caps w:val="0"/>
          <w:color w:val="000000"/>
          <w:spacing w:val="0"/>
          <w:sz w:val="44"/>
          <w:szCs w:val="44"/>
          <w:shd w:val="clear" w:fill="FFFFFF"/>
          <w:lang w:val="en-US" w:eastAsia="zh-CN"/>
        </w:rPr>
      </w:pPr>
      <w:r>
        <w:rPr>
          <w:rFonts w:hint="eastAsia" w:ascii="楷体" w:hAnsi="楷体" w:eastAsia="楷体" w:cs="楷体"/>
          <w:i w:val="0"/>
          <w:iCs w:val="0"/>
          <w:caps w:val="0"/>
          <w:color w:val="000000"/>
          <w:spacing w:val="0"/>
          <w:sz w:val="32"/>
          <w:szCs w:val="32"/>
          <w:shd w:val="clear" w:fill="FFFFFF"/>
          <w:lang w:val="en-US" w:eastAsia="zh-CN"/>
        </w:rPr>
        <w:t>2023年</w:t>
      </w:r>
      <w:r>
        <w:rPr>
          <w:rFonts w:hint="eastAsia" w:ascii="楷体" w:hAnsi="楷体" w:eastAsia="楷体" w:cs="楷体"/>
          <w:color w:val="000000"/>
          <w:kern w:val="0"/>
          <w:sz w:val="32"/>
          <w:szCs w:val="32"/>
          <w:lang w:val="en-US" w:eastAsia="zh-CN" w:bidi="ar"/>
        </w:rPr>
        <w:t>4月14日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方正小标宋_GBK" w:hAnsi="方正小标宋_GBK" w:eastAsia="方正小标宋_GBK" w:cs="方正小标宋_GBK"/>
          <w:i w:val="0"/>
          <w:iCs w:val="0"/>
          <w:caps w:val="0"/>
          <w:color w:val="000000"/>
          <w:spacing w:val="0"/>
          <w:sz w:val="24"/>
          <w:szCs w:val="24"/>
        </w:rPr>
      </w:pPr>
      <w:r>
        <w:rPr>
          <w:rFonts w:hint="default" w:ascii="仿宋_GB2312" w:hAnsi="方正小标宋_GBK" w:eastAsia="仿宋_GB2312" w:cs="仿宋_GB2312"/>
          <w:i w:val="0"/>
          <w:iCs w:val="0"/>
          <w:caps w:val="0"/>
          <w:color w:val="000000"/>
          <w:spacing w:val="0"/>
          <w:sz w:val="24"/>
          <w:szCs w:val="24"/>
          <w:shd w:val="clear" w:fill="FFFFFF"/>
        </w:rPr>
        <w:t>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1．资金下达预算及项目情况。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sz w:val="32"/>
          <w:szCs w:val="32"/>
          <w:lang w:eastAsia="zh-CN"/>
        </w:rPr>
        <w:t>该项目上层指标为：湘财预（</w:t>
      </w:r>
      <w:r>
        <w:rPr>
          <w:rFonts w:hint="eastAsia" w:ascii="仿宋" w:hAnsi="仿宋" w:eastAsia="仿宋"/>
          <w:sz w:val="32"/>
          <w:szCs w:val="32"/>
          <w:lang w:val="en-US" w:eastAsia="zh-CN"/>
        </w:rPr>
        <w:t>2022</w:t>
      </w:r>
      <w:r>
        <w:rPr>
          <w:rFonts w:hint="eastAsia" w:ascii="仿宋" w:hAnsi="仿宋" w:eastAsia="仿宋"/>
          <w:sz w:val="32"/>
          <w:szCs w:val="32"/>
          <w:lang w:eastAsia="zh-CN"/>
        </w:rPr>
        <w:t>）</w:t>
      </w:r>
      <w:r>
        <w:rPr>
          <w:rFonts w:hint="eastAsia" w:ascii="仿宋" w:hAnsi="仿宋" w:eastAsia="仿宋"/>
          <w:sz w:val="32"/>
          <w:szCs w:val="32"/>
          <w:lang w:val="en-US" w:eastAsia="zh-CN"/>
        </w:rPr>
        <w:t>0001号，绥宁县财政局于2022年9月21日下发绥财预指（2022）0427号的本级专项资金220.2万元；</w:t>
      </w:r>
      <w:r>
        <w:rPr>
          <w:rFonts w:hint="eastAsia" w:ascii="仿宋" w:hAnsi="仿宋" w:eastAsia="仿宋" w:cs="仿宋"/>
          <w:sz w:val="32"/>
          <w:szCs w:val="32"/>
          <w:lang w:val="en-US" w:eastAsia="zh-CN"/>
        </w:rPr>
        <w:t>用于绥宁县松材线虫病能够及时有效的防治，达到控制疫情不扩散，最终拔除疫情的目的。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2.</w:t>
      </w:r>
      <w:r>
        <w:rPr>
          <w:rFonts w:hint="eastAsia" w:ascii="仿宋" w:hAnsi="仿宋" w:eastAsia="仿宋" w:cs="仿宋"/>
          <w:spacing w:val="10"/>
          <w:sz w:val="32"/>
          <w:szCs w:val="32"/>
        </w:rPr>
        <w:t>资金项目绩效目标设定情况。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pacing w:val="10"/>
          <w:sz w:val="32"/>
          <w:szCs w:val="32"/>
          <w:lang w:val="en-US" w:eastAsia="zh-CN"/>
        </w:rPr>
        <w:t xml:space="preserve">   绥宁县县域范围内的因松材线虫病</w:t>
      </w:r>
      <w:r>
        <w:rPr>
          <w:rFonts w:hint="eastAsia" w:ascii="仿宋" w:hAnsi="仿宋" w:eastAsia="仿宋"/>
          <w:sz w:val="32"/>
          <w:szCs w:val="32"/>
        </w:rPr>
        <w:t>造成的</w:t>
      </w:r>
      <w:r>
        <w:rPr>
          <w:rFonts w:hint="eastAsia" w:ascii="仿宋" w:hAnsi="仿宋" w:eastAsia="仿宋"/>
          <w:sz w:val="32"/>
          <w:szCs w:val="32"/>
          <w:lang w:eastAsia="zh-CN"/>
        </w:rPr>
        <w:t>松枯死木能够及时除治完成，利用无人机进行松褐天牛防治达到控制虫口密度减少媒介昆虫的目的</w:t>
      </w:r>
      <w:r>
        <w:rPr>
          <w:rFonts w:hint="eastAsia" w:ascii="仿宋" w:hAnsi="仿宋" w:eastAsia="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黑体" w:hAnsi="黑体" w:eastAsia="黑体" w:cs="黑体"/>
          <w:b w:val="0"/>
          <w:bCs w:val="0"/>
          <w:spacing w:val="10"/>
          <w:sz w:val="32"/>
          <w:szCs w:val="32"/>
        </w:rPr>
        <w:t>二、绩效自评工作开展情况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2022年3月底前已经完成4243亩松林内的松枯死木4000株的除治任务和5000亩松林的松褐天牛防治任务（2022年5月1-5日、7月5-9日已经进行两次无人机喷洒生物制剂）。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3" w:firstLineChars="200"/>
        <w:jc w:val="both"/>
        <w:textAlignment w:val="auto"/>
        <w:rPr>
          <w:rFonts w:hint="eastAsia" w:ascii="楷体" w:hAnsi="楷体" w:eastAsia="楷体" w:cs="楷体"/>
          <w:b/>
          <w:bCs/>
          <w:spacing w:val="10"/>
          <w:sz w:val="32"/>
          <w:szCs w:val="32"/>
          <w:lang w:eastAsia="zh-CN"/>
        </w:rPr>
      </w:pPr>
      <w:r>
        <w:rPr>
          <w:rFonts w:hint="eastAsia" w:ascii="楷体" w:hAnsi="楷体" w:eastAsia="楷体" w:cs="楷体"/>
          <w:b/>
          <w:bCs/>
          <w:spacing w:val="10"/>
          <w:sz w:val="32"/>
          <w:szCs w:val="32"/>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pacing w:val="10"/>
          <w:sz w:val="32"/>
          <w:szCs w:val="32"/>
          <w:lang w:eastAsia="zh-CN"/>
        </w:rPr>
      </w:pPr>
      <w:r>
        <w:rPr>
          <w:rFonts w:hint="eastAsia" w:ascii="仿宋" w:hAnsi="仿宋" w:eastAsia="仿宋"/>
          <w:sz w:val="32"/>
          <w:szCs w:val="32"/>
          <w:lang w:val="en-US" w:eastAsia="zh-CN"/>
        </w:rPr>
        <w:t>绥财预指（2022）0427号的本级专项资金220.2万元用于</w:t>
      </w:r>
      <w:r>
        <w:rPr>
          <w:rFonts w:hint="eastAsia" w:ascii="仿宋" w:hAnsi="仿宋" w:eastAsia="仿宋" w:cs="仿宋"/>
          <w:spacing w:val="10"/>
          <w:sz w:val="32"/>
          <w:szCs w:val="32"/>
          <w:lang w:val="en-US" w:eastAsia="zh-CN"/>
        </w:rPr>
        <w:t>2021年度绥宁县林业重大有害生物防治，</w:t>
      </w:r>
      <w:r>
        <w:rPr>
          <w:rFonts w:hint="eastAsia" w:ascii="仿宋" w:hAnsi="仿宋" w:eastAsia="仿宋"/>
          <w:sz w:val="32"/>
          <w:szCs w:val="32"/>
          <w:lang w:val="en-US" w:eastAsia="zh-CN"/>
        </w:rPr>
        <w:t>绥宁县财政局于2022年9月21日下发已到位。</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eastAsia="zh-CN"/>
        </w:rPr>
        <w:t>专项资金已经拨付县林业局专项账户，资金按照财务管理程序已经拨付到位。</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firstLine="680" w:firstLineChars="200"/>
        <w:textAlignment w:val="auto"/>
        <w:rPr>
          <w:rFonts w:hint="eastAsia" w:ascii="仿宋" w:hAnsi="仿宋" w:eastAsia="仿宋" w:cs="仿宋"/>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eastAsia="zh-CN"/>
        </w:rPr>
        <w:t>下达给我局的</w:t>
      </w:r>
      <w:r>
        <w:rPr>
          <w:rFonts w:hint="eastAsia" w:ascii="仿宋" w:hAnsi="仿宋" w:eastAsia="仿宋" w:cs="仿宋"/>
          <w:sz w:val="32"/>
          <w:szCs w:val="32"/>
          <w:lang w:val="en-US" w:eastAsia="zh-CN"/>
        </w:rPr>
        <w:t>220.2万元专项资金严格执行财务管理制度和支付流程，全部用于我县2021年度的</w:t>
      </w:r>
      <w:r>
        <w:rPr>
          <w:rFonts w:hint="eastAsia" w:ascii="仿宋" w:hAnsi="仿宋" w:eastAsia="仿宋" w:cs="仿宋"/>
          <w:spacing w:val="10"/>
          <w:sz w:val="32"/>
          <w:szCs w:val="32"/>
          <w:lang w:val="en-US" w:eastAsia="zh-CN"/>
        </w:rPr>
        <w:t>林业重大有害生物防治项目</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3" w:firstLineChars="200"/>
        <w:jc w:val="both"/>
        <w:textAlignment w:val="auto"/>
        <w:rPr>
          <w:rFonts w:hint="eastAsia" w:ascii="楷体" w:hAnsi="楷体" w:eastAsia="楷体" w:cs="楷体"/>
          <w:b/>
          <w:bCs/>
          <w:spacing w:val="10"/>
          <w:sz w:val="32"/>
          <w:szCs w:val="32"/>
          <w:lang w:eastAsia="zh-CN"/>
        </w:rPr>
      </w:pPr>
      <w:r>
        <w:rPr>
          <w:rFonts w:hint="eastAsia" w:ascii="楷体" w:hAnsi="楷体" w:eastAsia="楷体" w:cs="楷体"/>
          <w:b/>
          <w:bCs/>
          <w:spacing w:val="10"/>
          <w:sz w:val="32"/>
          <w:szCs w:val="32"/>
        </w:rPr>
        <w:t>(二)项目绩效指标完成情况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(1)项目完成数量；</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b w:val="0"/>
          <w:bCs w:val="0"/>
          <w:sz w:val="32"/>
          <w:szCs w:val="32"/>
          <w:lang w:val="en-US" w:eastAsia="zh-CN"/>
        </w:rPr>
        <w:t>2022年3月底前已经完成4243亩松林内的松枯死木4000株的除治任务和5000亩松林的松褐天牛防治任务（2022年5月1-5日、7月5-9日已经进行两次无人机喷洒生物制剂）。</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340" w:firstLineChars="1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2</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项目完成质量；</w:t>
      </w:r>
    </w:p>
    <w:p>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pacing w:val="10"/>
          <w:sz w:val="32"/>
          <w:szCs w:val="32"/>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2021年度的林业重大有害生物防治项目经过评审，获得省林业局的行业优秀等级。</w:t>
      </w:r>
    </w:p>
    <w:p>
      <w:pPr>
        <w:pStyle w:val="2"/>
        <w:keepNext w:val="0"/>
        <w:keepLines w:val="0"/>
        <w:pageBreakBefore w:val="0"/>
        <w:numPr>
          <w:numId w:val="0"/>
        </w:numPr>
        <w:kinsoku/>
        <w:wordWrap/>
        <w:overflowPunct/>
        <w:topLinePunct w:val="0"/>
        <w:autoSpaceDE/>
        <w:autoSpaceDN/>
        <w:bidi w:val="0"/>
        <w:adjustRightInd/>
        <w:snapToGrid/>
        <w:spacing w:line="520" w:lineRule="exact"/>
        <w:ind w:firstLine="340" w:firstLineChars="100"/>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3</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项目实施进度；</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所有防治全部按时按质完成。</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340" w:firstLineChars="1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4</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项目成本节约情况；</w:t>
      </w:r>
    </w:p>
    <w:p>
      <w:pPr>
        <w:pStyle w:val="2"/>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2021年度绥宁县林业重大有害生物防治项目的成本节约情况良好，没有超出预算。</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(1)项目实施的经济效益分析；</w:t>
      </w:r>
    </w:p>
    <w:p>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pacing w:val="10"/>
          <w:sz w:val="32"/>
          <w:szCs w:val="32"/>
          <w:lang w:val="en-US" w:eastAsia="zh-CN"/>
        </w:rPr>
        <w:t xml:space="preserve">    </w:t>
      </w:r>
      <w:r>
        <w:rPr>
          <w:rFonts w:hint="eastAsia"/>
          <w:lang w:val="en-US" w:eastAsia="zh-CN"/>
        </w:rPr>
        <w:t xml:space="preserve"> </w:t>
      </w:r>
      <w:r>
        <w:rPr>
          <w:rFonts w:hint="eastAsia" w:ascii="仿宋" w:hAnsi="仿宋" w:eastAsia="仿宋" w:cs="仿宋"/>
          <w:spacing w:val="10"/>
          <w:sz w:val="32"/>
          <w:szCs w:val="32"/>
          <w:lang w:val="en-US" w:eastAsia="zh-CN"/>
        </w:rPr>
        <w:t>2021年度绥宁县林业重大有害生物防治项目的实施，为我县减少因</w:t>
      </w:r>
      <w:r>
        <w:rPr>
          <w:rFonts w:hint="eastAsia" w:ascii="仿宋" w:hAnsi="仿宋" w:eastAsia="仿宋" w:cs="仿宋"/>
          <w:b w:val="0"/>
          <w:bCs w:val="0"/>
          <w:sz w:val="32"/>
          <w:szCs w:val="32"/>
          <w:lang w:eastAsia="zh-CN"/>
        </w:rPr>
        <w:t>松材线虫病危害造成松树死亡的损失</w:t>
      </w:r>
      <w:r>
        <w:rPr>
          <w:rFonts w:hint="eastAsia" w:ascii="仿宋" w:hAnsi="仿宋" w:eastAsia="仿宋" w:cs="仿宋"/>
          <w:b w:val="0"/>
          <w:bCs w:val="0"/>
          <w:sz w:val="32"/>
          <w:szCs w:val="32"/>
          <w:lang w:val="en-US" w:eastAsia="zh-CN"/>
        </w:rPr>
        <w:t>6000万元左右。</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z w:val="32"/>
          <w:szCs w:val="32"/>
        </w:rPr>
      </w:pPr>
      <w:r>
        <w:rPr>
          <w:rFonts w:hint="eastAsia" w:ascii="仿宋" w:hAnsi="仿宋" w:eastAsia="仿宋" w:cs="仿宋"/>
          <w:spacing w:val="10"/>
          <w:sz w:val="32"/>
          <w:szCs w:val="32"/>
        </w:rPr>
        <w:t>项目实施的社会效益分析；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严格按照国家、省、市和县各级主管部门的技术规程执行，松枯死木必须在</w:t>
      </w:r>
      <w:r>
        <w:rPr>
          <w:rFonts w:hint="eastAsia" w:ascii="仿宋" w:hAnsi="仿宋" w:eastAsia="仿宋" w:cs="仿宋"/>
          <w:b w:val="0"/>
          <w:bCs w:val="0"/>
          <w:sz w:val="32"/>
          <w:szCs w:val="32"/>
          <w:lang w:val="en-US" w:eastAsia="zh-CN"/>
        </w:rPr>
        <w:t>3月底前完成清除作业，通过无人机喷洒生物制剂控制松褐天牛的虫口密度达到减少媒介昆虫的疫情传播目的</w:t>
      </w:r>
      <w:r>
        <w:rPr>
          <w:rFonts w:hint="eastAsia" w:ascii="仿宋" w:hAnsi="仿宋" w:eastAsia="仿宋" w:cs="仿宋"/>
          <w:b w:val="0"/>
          <w:bCs w:val="0"/>
          <w:sz w:val="32"/>
          <w:szCs w:val="32"/>
          <w:lang w:eastAsia="zh-CN"/>
        </w:rPr>
        <w:t>。</w:t>
      </w:r>
    </w:p>
    <w:p>
      <w:pPr>
        <w:pStyle w:val="2"/>
        <w:keepNext w:val="0"/>
        <w:keepLines w:val="0"/>
        <w:pageBreakBefore w:val="0"/>
        <w:numPr>
          <w:ilvl w:val="0"/>
          <w:numId w:val="2"/>
        </w:numPr>
        <w:kinsoku/>
        <w:wordWrap/>
        <w:overflowPunct/>
        <w:topLinePunct w:val="0"/>
        <w:autoSpaceDE/>
        <w:autoSpaceDN/>
        <w:bidi w:val="0"/>
        <w:adjustRightInd/>
        <w:snapToGrid/>
        <w:spacing w:line="520" w:lineRule="exact"/>
        <w:ind w:firstLine="680" w:firstLineChars="200"/>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项目实施的生态效益分析；</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仿宋" w:hAnsi="仿宋" w:eastAsia="仿宋" w:cs="仿宋"/>
          <w:b w:val="0"/>
          <w:bCs w:val="0"/>
          <w:sz w:val="32"/>
          <w:szCs w:val="32"/>
          <w:lang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lang w:eastAsia="zh-CN"/>
        </w:rPr>
        <w:t>通过及时有效的松材线虫病防治，使我县的松林资源得到有效的保护，确保疫情不扩散，最终拔除疫情的目的。</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(4)</w:t>
      </w:r>
      <w:r>
        <w:rPr>
          <w:rFonts w:hint="eastAsia" w:ascii="仿宋" w:hAnsi="仿宋" w:eastAsia="仿宋" w:cs="仿宋"/>
          <w:spacing w:val="10"/>
          <w:sz w:val="32"/>
          <w:szCs w:val="32"/>
        </w:rPr>
        <w:t>项目实施的可持续影响分析；</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仿宋" w:hAnsi="仿宋" w:eastAsia="仿宋" w:cs="仿宋"/>
          <w:b w:val="0"/>
          <w:bCs w:val="0"/>
          <w:sz w:val="32"/>
          <w:szCs w:val="32"/>
          <w:lang w:eastAsia="zh-CN"/>
        </w:rPr>
      </w:pPr>
      <w:r>
        <w:rPr>
          <w:rFonts w:hint="eastAsia"/>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lang w:eastAsia="zh-CN"/>
        </w:rPr>
        <w:t>松材线虫病是松林的“癌症”，在各级政府的主持下，通过林业部门的不断努力，在及时防治、大力宣传、严格执法等措施方面开展工作，使我县的林草资源得到可持续、多样性地发展。</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3、</w:t>
      </w:r>
      <w:r>
        <w:rPr>
          <w:rFonts w:hint="eastAsia" w:ascii="仿宋" w:hAnsi="仿宋" w:eastAsia="仿宋" w:cs="仿宋"/>
          <w:spacing w:val="10"/>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b/>
          <w:bCs/>
          <w:sz w:val="32"/>
          <w:szCs w:val="32"/>
          <w:lang w:eastAsia="zh-CN"/>
        </w:rPr>
      </w:pPr>
      <w:r>
        <w:rPr>
          <w:rFonts w:hint="eastAsia" w:ascii="仿宋" w:hAnsi="仿宋" w:eastAsia="仿宋" w:cs="仿宋"/>
          <w:b w:val="0"/>
          <w:bCs w:val="0"/>
          <w:sz w:val="32"/>
          <w:szCs w:val="32"/>
          <w:lang w:eastAsia="zh-CN"/>
        </w:rPr>
        <w:t>通过林业部门的及时防治、政府媒体的大力宣传、公安部门的严格执法等防治措施的实施，使我县的广大林农和社会人士对林业有害生物防治工作的满意肯定</w:t>
      </w:r>
      <w:r>
        <w:rPr>
          <w:rFonts w:hint="eastAsia" w:ascii="方正仿宋_GBK" w:hAnsi="方正仿宋_GBK" w:eastAsia="方正仿宋_GBK" w:cs="方正仿宋_GBK"/>
          <w:b w:val="0"/>
          <w:bCs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四、存在的主要问题及产生的原因</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(一)项目申报及实施管理方面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1、项目立项；</w:t>
      </w:r>
    </w:p>
    <w:p>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eastAsia="仿宋"/>
          <w:lang w:val="en-US" w:eastAsia="zh-CN"/>
        </w:rPr>
      </w:pPr>
      <w:r>
        <w:rPr>
          <w:rFonts w:hint="eastAsia" w:ascii="仿宋" w:hAnsi="仿宋" w:eastAsia="仿宋" w:cs="仿宋"/>
          <w:spacing w:val="10"/>
          <w:sz w:val="32"/>
          <w:szCs w:val="32"/>
          <w:lang w:val="en-US" w:eastAsia="zh-CN"/>
        </w:rPr>
        <w:t xml:space="preserve">    已经得到政府支持。</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项目跟踪监管；</w:t>
      </w:r>
    </w:p>
    <w:p>
      <w:pPr>
        <w:pStyle w:val="2"/>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lang w:val="en-US" w:eastAsia="zh-CN"/>
        </w:rPr>
        <w:t xml:space="preserve">       </w:t>
      </w:r>
      <w:r>
        <w:rPr>
          <w:rFonts w:hint="eastAsia" w:ascii="仿宋" w:hAnsi="仿宋" w:eastAsia="仿宋" w:cs="仿宋"/>
          <w:sz w:val="32"/>
          <w:szCs w:val="32"/>
          <w:lang w:val="en-US" w:eastAsia="zh-CN"/>
        </w:rPr>
        <w:t>该项目政府已经安排林业局实施，林业局指定自然地与野生动植物保护股的工作人员进行跟踪监管。</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项目实施进度;</w:t>
      </w:r>
    </w:p>
    <w:p>
      <w:pPr>
        <w:pStyle w:val="2"/>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eastAsia="宋体"/>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2021年度绥宁县林业重大有害生物防治项目的实施已经完成。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4、项目其他方面；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(二)资金管理方面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1、资金使用；</w:t>
      </w:r>
    </w:p>
    <w:p>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eastAsia="仿宋"/>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sz w:val="32"/>
          <w:szCs w:val="32"/>
          <w:lang w:val="en-US" w:eastAsia="zh-CN"/>
        </w:rPr>
        <w:t>绥财预指（2022）0427号的本级专项资金220.2万元用于</w:t>
      </w:r>
      <w:r>
        <w:rPr>
          <w:rFonts w:hint="eastAsia" w:ascii="仿宋" w:hAnsi="仿宋" w:eastAsia="仿宋" w:cs="仿宋"/>
          <w:spacing w:val="10"/>
          <w:sz w:val="32"/>
          <w:szCs w:val="32"/>
          <w:lang w:val="en-US" w:eastAsia="zh-CN"/>
        </w:rPr>
        <w:t>2021年度绥宁县林业重大有害生物防治项目。</w:t>
      </w:r>
    </w:p>
    <w:p>
      <w:pPr>
        <w:pStyle w:val="2"/>
        <w:keepNext w:val="0"/>
        <w:keepLines w:val="0"/>
        <w:pageBreakBefore w:val="0"/>
        <w:kinsoku/>
        <w:wordWrap/>
        <w:overflowPunct/>
        <w:topLinePunct w:val="0"/>
        <w:autoSpaceDE/>
        <w:autoSpaceDN/>
        <w:bidi w:val="0"/>
        <w:adjustRightInd/>
        <w:snapToGrid/>
        <w:spacing w:line="520" w:lineRule="exact"/>
        <w:ind w:firstLine="720"/>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2、项目资金拨付；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960" w:firstLineChars="300"/>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z w:val="32"/>
          <w:szCs w:val="32"/>
          <w:lang w:eastAsia="zh-CN"/>
        </w:rPr>
        <w:t>专项资金已经拨付县林业局专项账户，资金按照财务管理程序已经拨付到位。</w:t>
      </w:r>
    </w:p>
    <w:p>
      <w:pPr>
        <w:keepNext w:val="0"/>
        <w:keepLines w:val="0"/>
        <w:pageBreakBefore w:val="0"/>
        <w:widowControl w:val="0"/>
        <w:numPr>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3、</w:t>
      </w:r>
      <w:r>
        <w:rPr>
          <w:rFonts w:hint="eastAsia" w:ascii="仿宋" w:hAnsi="仿宋" w:eastAsia="仿宋" w:cs="仿宋"/>
          <w:spacing w:val="10"/>
          <w:sz w:val="32"/>
          <w:szCs w:val="32"/>
        </w:rPr>
        <w:t>会计核算；</w:t>
      </w:r>
    </w:p>
    <w:p>
      <w:pPr>
        <w:pStyle w:val="2"/>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 xml:space="preserve"> 林业局计划财务股已经核算无误。</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(三)产生的原因</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五、下一步改进措施及建议</w:t>
      </w:r>
    </w:p>
    <w:p>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黑体" w:hAnsi="黑体" w:eastAsia="黑体" w:cs="黑体"/>
          <w:b w:val="0"/>
          <w:bCs w:val="0"/>
          <w:spacing w:val="10"/>
          <w:sz w:val="32"/>
          <w:szCs w:val="32"/>
          <w:lang w:val="en-US" w:eastAsia="zh-CN"/>
        </w:rPr>
        <w:t xml:space="preserve">  </w:t>
      </w:r>
      <w:r>
        <w:rPr>
          <w:rFonts w:hint="eastAsia" w:ascii="仿宋" w:hAnsi="仿宋" w:eastAsia="仿宋" w:cs="仿宋"/>
          <w:b w:val="0"/>
          <w:bCs w:val="0"/>
          <w:spacing w:val="10"/>
          <w:sz w:val="32"/>
          <w:szCs w:val="32"/>
          <w:lang w:val="en-US" w:eastAsia="zh-CN"/>
        </w:rPr>
        <w:t xml:space="preserve">  建议加大防治资金，确保我县森林资源的可持续性发展和生物多样性安全。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80" w:firstLineChars="200"/>
        <w:jc w:val="both"/>
        <w:textAlignment w:val="auto"/>
        <w:rPr>
          <w:rFonts w:hint="eastAsia" w:ascii="仿宋" w:hAnsi="仿宋" w:eastAsia="仿宋" w:cs="仿宋"/>
          <w:b/>
          <w:bCs/>
          <w:sz w:val="32"/>
          <w:szCs w:val="32"/>
          <w:lang w:val="en-US" w:eastAsia="zh-CN"/>
        </w:rPr>
      </w:pPr>
      <w:r>
        <w:rPr>
          <w:rFonts w:hint="eastAsia" w:ascii="黑体" w:hAnsi="黑体" w:eastAsia="黑体" w:cs="黑体"/>
          <w:b w:val="0"/>
          <w:bCs w:val="0"/>
          <w:spacing w:val="10"/>
          <w:sz w:val="32"/>
          <w:szCs w:val="32"/>
        </w:rPr>
        <w:t>六、绩效自评结果拟应用和公开情况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5"/>
        <w:textAlignment w:val="auto"/>
        <w:rPr>
          <w:rFonts w:hint="eastAsia" w:ascii="仿宋" w:hAnsi="仿宋" w:eastAsia="仿宋" w:cs="仿宋"/>
          <w:i w:val="0"/>
          <w:iCs w:val="0"/>
          <w:caps w:val="0"/>
          <w:color w:val="000000"/>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5"/>
        <w:textAlignment w:val="auto"/>
        <w:rPr>
          <w:rFonts w:hint="default" w:ascii="仿宋" w:hAnsi="仿宋" w:eastAsia="仿宋" w:cs="仿宋"/>
          <w:i w:val="0"/>
          <w:iCs w:val="0"/>
          <w:caps w:val="0"/>
          <w:color w:val="000000"/>
          <w:spacing w:val="0"/>
          <w:sz w:val="32"/>
          <w:szCs w:val="32"/>
          <w:lang w:val="en-US" w:eastAsia="zh-CN"/>
        </w:rPr>
      </w:pPr>
      <w:r>
        <w:rPr>
          <w:rFonts w:hint="eastAsia" w:ascii="仿宋" w:hAnsi="仿宋" w:eastAsia="仿宋" w:cs="仿宋"/>
          <w:i w:val="0"/>
          <w:iCs w:val="0"/>
          <w:caps w:val="0"/>
          <w:color w:val="000000"/>
          <w:spacing w:val="0"/>
          <w:sz w:val="32"/>
          <w:szCs w:val="32"/>
          <w:lang w:val="en-US" w:eastAsia="zh-CN"/>
        </w:rPr>
        <w:t>附件：项目支出绩效目标自评表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5"/>
        <w:textAlignment w:val="auto"/>
        <w:rPr>
          <w:rFonts w:hint="eastAsia" w:ascii="仿宋" w:hAnsi="仿宋" w:eastAsia="仿宋" w:cs="仿宋"/>
          <w:i w:val="0"/>
          <w:iCs w:val="0"/>
          <w:caps w:val="0"/>
          <w:color w:val="000000"/>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640"/>
        <w:jc w:val="both"/>
        <w:textAlignment w:val="auto"/>
        <w:rPr>
          <w:rFonts w:hint="default" w:ascii="Calibri" w:hAnsi="Calibri" w:cs="Calibri"/>
          <w:i w:val="0"/>
          <w:iCs w:val="0"/>
          <w:caps w:val="0"/>
          <w:color w:val="000000"/>
          <w:spacing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eastAsia" w:ascii="黑体" w:hAnsi="黑体" w:eastAsia="黑体" w:cs="黑体"/>
          <w:i w:val="0"/>
          <w:iCs w:val="0"/>
          <w:caps w:val="0"/>
          <w:color w:val="000000"/>
          <w:spacing w:val="0"/>
          <w:sz w:val="32"/>
          <w:szCs w:val="32"/>
          <w:shd w:val="clear" w:fill="FFFFFF"/>
          <w:lang w:val="en-US" w:eastAsia="zh-CN"/>
        </w:rPr>
      </w:pPr>
      <w:bookmarkStart w:id="0" w:name="_GoBack"/>
      <w:bookmarkEnd w:id="0"/>
      <w:r>
        <w:rPr>
          <w:rFonts w:hint="eastAsia" w:ascii="黑体" w:hAnsi="黑体" w:eastAsia="黑体" w:cs="黑体"/>
          <w:i w:val="0"/>
          <w:iCs w:val="0"/>
          <w:caps w:val="0"/>
          <w:color w:val="000000"/>
          <w:spacing w:val="0"/>
          <w:sz w:val="32"/>
          <w:szCs w:val="32"/>
          <w:shd w:val="clear" w:fill="FFFFFF"/>
          <w:lang w:val="en-US" w:eastAsia="zh-CN"/>
        </w:rPr>
        <w:t>附件：</w:t>
      </w:r>
    </w:p>
    <w:p>
      <w:pPr>
        <w:keepNext w:val="0"/>
        <w:keepLines w:val="0"/>
        <w:pageBreakBefore w:val="0"/>
        <w:kinsoku/>
        <w:wordWrap/>
        <w:overflowPunct/>
        <w:topLinePunct w:val="0"/>
        <w:autoSpaceDE/>
        <w:autoSpaceDN/>
        <w:bidi w:val="0"/>
        <w:adjustRightInd/>
        <w:snapToGrid/>
        <w:spacing w:before="227" w:line="440" w:lineRule="exact"/>
        <w:jc w:val="center"/>
        <w:textAlignment w:val="auto"/>
        <w:rPr>
          <w:rFonts w:hint="eastAsia" w:ascii="黑体" w:hAnsi="黑体" w:eastAsia="黑体" w:cs="黑体"/>
          <w:spacing w:val="-1"/>
          <w:sz w:val="44"/>
          <w:szCs w:val="44"/>
        </w:rPr>
      </w:pPr>
      <w:r>
        <w:rPr>
          <w:rFonts w:hint="eastAsia" w:ascii="黑体" w:hAnsi="黑体" w:eastAsia="黑体" w:cs="黑体"/>
          <w:spacing w:val="-2"/>
          <w:sz w:val="44"/>
          <w:szCs w:val="44"/>
          <w:lang w:val="en-US" w:eastAsia="zh-CN"/>
        </w:rPr>
        <w:t>项目支出</w:t>
      </w:r>
      <w:r>
        <w:rPr>
          <w:rFonts w:hint="eastAsia" w:ascii="黑体" w:hAnsi="黑体" w:eastAsia="黑体" w:cs="黑体"/>
          <w:spacing w:val="-2"/>
          <w:sz w:val="44"/>
          <w:szCs w:val="44"/>
        </w:rPr>
        <w:t>绩</w:t>
      </w:r>
      <w:r>
        <w:rPr>
          <w:rFonts w:hint="eastAsia" w:ascii="黑体" w:hAnsi="黑体" w:eastAsia="黑体" w:cs="黑体"/>
          <w:spacing w:val="-1"/>
          <w:sz w:val="44"/>
          <w:szCs w:val="44"/>
        </w:rPr>
        <w:t>效目标自评表</w:t>
      </w:r>
    </w:p>
    <w:p>
      <w:pPr>
        <w:keepNext w:val="0"/>
        <w:keepLines w:val="0"/>
        <w:pageBreakBefore w:val="0"/>
        <w:kinsoku/>
        <w:wordWrap/>
        <w:overflowPunct/>
        <w:topLinePunct w:val="0"/>
        <w:autoSpaceDE/>
        <w:autoSpaceDN/>
        <w:bidi w:val="0"/>
        <w:adjustRightInd/>
        <w:snapToGrid/>
        <w:spacing w:before="47" w:line="440" w:lineRule="exact"/>
        <w:ind w:left="3525"/>
        <w:textAlignment w:val="auto"/>
        <w:rPr>
          <w:rFonts w:hint="eastAsia" w:ascii="仿宋" w:hAnsi="仿宋" w:eastAsia="仿宋" w:cs="仿宋"/>
          <w:spacing w:val="-1"/>
          <w:sz w:val="32"/>
          <w:szCs w:val="32"/>
        </w:rPr>
      </w:pPr>
      <w:r>
        <w:rPr>
          <w:rFonts w:hint="eastAsia" w:ascii="仿宋" w:hAnsi="仿宋" w:eastAsia="仿宋" w:cs="仿宋"/>
          <w:sz w:val="32"/>
          <w:szCs w:val="32"/>
        </w:rPr>
        <mc:AlternateContent>
          <mc:Choice Requires="wps">
            <w:drawing>
              <wp:anchor distT="0" distB="0" distL="114300" distR="114300" simplePos="0" relativeHeight="251659264" behindDoc="0" locked="0" layoutInCell="1" allowOverlap="1">
                <wp:simplePos x="0" y="0"/>
                <wp:positionH relativeFrom="column">
                  <wp:posOffset>4638675</wp:posOffset>
                </wp:positionH>
                <wp:positionV relativeFrom="paragraph">
                  <wp:posOffset>17145</wp:posOffset>
                </wp:positionV>
                <wp:extent cx="633095" cy="2362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3095" cy="236220"/>
                        </a:xfrm>
                        <a:prstGeom prst="rect">
                          <a:avLst/>
                        </a:prstGeom>
                        <a:noFill/>
                        <a:ln>
                          <a:noFill/>
                        </a:ln>
                      </wps:spPr>
                      <wps:txbx>
                        <w:txbxContent>
                          <w:p>
                            <w:pPr>
                              <w:spacing w:before="19" w:line="219" w:lineRule="auto"/>
                              <w:ind w:left="20"/>
                              <w:rPr>
                                <w:rFonts w:ascii="仿宋" w:hAnsi="仿宋" w:eastAsia="仿宋" w:cs="仿宋"/>
                                <w:sz w:val="28"/>
                                <w:szCs w:val="28"/>
                              </w:rPr>
                            </w:pPr>
                          </w:p>
                        </w:txbxContent>
                      </wps:txbx>
                      <wps:bodyPr lIns="0" tIns="0" rIns="0" bIns="0" upright="1"/>
                    </wps:wsp>
                  </a:graphicData>
                </a:graphic>
              </wp:anchor>
            </w:drawing>
          </mc:Choice>
          <mc:Fallback>
            <w:pict>
              <v:shape id="_x0000_s1026" o:spid="_x0000_s1026" o:spt="202" type="#_x0000_t202" style="position:absolute;left:0pt;margin-left:365.25pt;margin-top:1.35pt;height:18.6pt;width:49.85pt;z-index:251659264;mso-width-relative:page;mso-height-relative:page;" filled="f" stroked="f" coordsize="21600,21600" o:gfxdata="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Lyz/S2AAAAAgBAAAPAAAAAAAAAAEAIAAAACIAAABkcnMvZG93bnJldi54bWxQSwEC&#10;FAAUAAAACACHTuJAhdehcLsBAABxAwAADgAAAAAAAAABACAAAAAnAQAAZHJzL2Uyb0RvYy54bWxQ&#10;SwUGAAAAAAYABgBZAQAAVAUAAAAA&#10;">
                <v:fill on="f" focussize="0,0"/>
                <v:stroke on="f"/>
                <v:imagedata o:title=""/>
                <o:lock v:ext="edit" aspectratio="f"/>
                <v:textbox inset="0mm,0mm,0mm,0mm">
                  <w:txbxContent>
                    <w:p>
                      <w:pPr>
                        <w:spacing w:before="19" w:line="219" w:lineRule="auto"/>
                        <w:ind w:left="20"/>
                        <w:rPr>
                          <w:rFonts w:ascii="仿宋" w:hAnsi="仿宋" w:eastAsia="仿宋" w:cs="仿宋"/>
                          <w:sz w:val="28"/>
                          <w:szCs w:val="28"/>
                        </w:rPr>
                      </w:pPr>
                    </w:p>
                  </w:txbxContent>
                </v:textbox>
              </v:shape>
            </w:pict>
          </mc:Fallback>
        </mc:AlternateContent>
      </w:r>
      <w:r>
        <w:rPr>
          <w:rFonts w:hint="eastAsia" w:ascii="仿宋" w:hAnsi="仿宋" w:eastAsia="仿宋" w:cs="仿宋"/>
          <w:spacing w:val="22"/>
          <w:sz w:val="32"/>
          <w:szCs w:val="32"/>
        </w:rPr>
        <w:t>(</w:t>
      </w:r>
      <w:r>
        <w:rPr>
          <w:rFonts w:hint="eastAsia" w:ascii="仿宋" w:hAnsi="仿宋" w:eastAsia="仿宋" w:cs="仿宋"/>
          <w:b/>
          <w:bCs/>
          <w:spacing w:val="17"/>
          <w:sz w:val="32"/>
          <w:szCs w:val="32"/>
          <w:lang w:val="en-US" w:eastAsia="zh-CN"/>
        </w:rPr>
        <w:t>2022</w:t>
      </w:r>
      <w:r>
        <w:rPr>
          <w:rFonts w:hint="eastAsia" w:ascii="仿宋" w:hAnsi="仿宋" w:eastAsia="仿宋" w:cs="仿宋"/>
          <w:spacing w:val="17"/>
          <w:sz w:val="32"/>
          <w:szCs w:val="32"/>
        </w:rPr>
        <w:t>年度)</w:t>
      </w:r>
    </w:p>
    <w:tbl>
      <w:tblPr>
        <w:tblStyle w:val="6"/>
        <w:tblW w:w="8132" w:type="dxa"/>
        <w:tblInd w:w="2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3"/>
        <w:gridCol w:w="695"/>
        <w:gridCol w:w="658"/>
        <w:gridCol w:w="1379"/>
        <w:gridCol w:w="1102"/>
        <w:gridCol w:w="738"/>
        <w:gridCol w:w="706"/>
        <w:gridCol w:w="650"/>
        <w:gridCol w:w="820"/>
        <w:gridCol w:w="8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906" w:type="dxa"/>
            <w:gridSpan w:val="3"/>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项目名称</w:t>
            </w:r>
          </w:p>
        </w:tc>
        <w:tc>
          <w:tcPr>
            <w:tcW w:w="2481" w:type="dxa"/>
            <w:gridSpan w:val="2"/>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2021年度林业重大有害生物防治</w:t>
            </w:r>
          </w:p>
        </w:tc>
        <w:tc>
          <w:tcPr>
            <w:tcW w:w="1444" w:type="dxa"/>
            <w:gridSpan w:val="2"/>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项目负责人及电话</w:t>
            </w:r>
          </w:p>
        </w:tc>
        <w:tc>
          <w:tcPr>
            <w:tcW w:w="2301" w:type="dxa"/>
            <w:gridSpan w:val="3"/>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lang w:eastAsia="zh-CN"/>
              </w:rPr>
            </w:pPr>
            <w:r>
              <w:rPr>
                <w:rFonts w:hint="eastAsia"/>
                <w:lang w:eastAsia="zh-CN"/>
              </w:rPr>
              <w:t>费立功</w:t>
            </w:r>
          </w:p>
          <w:p>
            <w:pPr>
              <w:pStyle w:val="2"/>
              <w:keepNext w:val="0"/>
              <w:keepLines w:val="0"/>
              <w:pageBreakBefore w:val="0"/>
              <w:kinsoku/>
              <w:wordWrap/>
              <w:overflowPunct/>
              <w:topLinePunct w:val="0"/>
              <w:autoSpaceDE/>
              <w:autoSpaceDN/>
              <w:bidi w:val="0"/>
              <w:adjustRightInd/>
              <w:snapToGrid/>
              <w:spacing w:line="440" w:lineRule="exact"/>
              <w:textAlignment w:val="auto"/>
              <w:rPr>
                <w:rFonts w:hint="eastAsia"/>
                <w:lang w:val="en-US" w:eastAsia="zh-CN"/>
              </w:rPr>
            </w:pPr>
            <w:r>
              <w:rPr>
                <w:rFonts w:hint="eastAsia" w:ascii="仿宋" w:hAnsi="仿宋" w:eastAsia="仿宋" w:cs="仿宋"/>
                <w:spacing w:val="8"/>
                <w:sz w:val="21"/>
                <w:szCs w:val="21"/>
                <w:lang w:val="en-US" w:eastAsia="zh-CN"/>
              </w:rPr>
              <w:t>13973945748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906" w:type="dxa"/>
            <w:gridSpan w:val="3"/>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主管部门</w:t>
            </w:r>
          </w:p>
        </w:tc>
        <w:tc>
          <w:tcPr>
            <w:tcW w:w="2481" w:type="dxa"/>
            <w:gridSpan w:val="2"/>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县人民政府</w:t>
            </w:r>
          </w:p>
        </w:tc>
        <w:tc>
          <w:tcPr>
            <w:tcW w:w="1444" w:type="dxa"/>
            <w:gridSpan w:val="2"/>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实施单位</w:t>
            </w:r>
          </w:p>
        </w:tc>
        <w:tc>
          <w:tcPr>
            <w:tcW w:w="2301" w:type="dxa"/>
            <w:gridSpan w:val="3"/>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林业局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06" w:type="dxa"/>
            <w:gridSpan w:val="3"/>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z w:val="21"/>
                <w:szCs w:val="21"/>
              </w:rPr>
            </w:pPr>
            <w:r>
              <w:rPr>
                <w:rFonts w:hint="eastAsia" w:ascii="仿宋" w:hAnsi="仿宋" w:eastAsia="仿宋" w:cs="仿宋"/>
                <w:spacing w:val="8"/>
                <w:sz w:val="21"/>
                <w:szCs w:val="21"/>
              </w:rPr>
              <w:t>资</w:t>
            </w:r>
            <w:r>
              <w:rPr>
                <w:rFonts w:hint="eastAsia" w:ascii="仿宋" w:hAnsi="仿宋" w:eastAsia="仿宋" w:cs="仿宋"/>
                <w:spacing w:val="6"/>
                <w:sz w:val="21"/>
                <w:szCs w:val="21"/>
              </w:rPr>
              <w:t>金情况(万元)</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全年预算数(A)</w:t>
            </w:r>
          </w:p>
        </w:tc>
        <w:tc>
          <w:tcPr>
            <w:tcW w:w="1444" w:type="dxa"/>
            <w:gridSpan w:val="2"/>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全年执行数(B)</w:t>
            </w:r>
          </w:p>
        </w:tc>
        <w:tc>
          <w:tcPr>
            <w:tcW w:w="650"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分值</w:t>
            </w:r>
          </w:p>
        </w:tc>
        <w:tc>
          <w:tcPr>
            <w:tcW w:w="820"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执行率(B/A)</w:t>
            </w:r>
          </w:p>
        </w:tc>
        <w:tc>
          <w:tcPr>
            <w:tcW w:w="831"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906" w:type="dxa"/>
            <w:gridSpan w:val="3"/>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年度资金总额：</w:t>
            </w:r>
          </w:p>
        </w:tc>
        <w:tc>
          <w:tcPr>
            <w:tcW w:w="1102"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300</w:t>
            </w:r>
          </w:p>
        </w:tc>
        <w:tc>
          <w:tcPr>
            <w:tcW w:w="1444" w:type="dxa"/>
            <w:gridSpan w:val="2"/>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280</w:t>
            </w:r>
          </w:p>
        </w:tc>
        <w:tc>
          <w:tcPr>
            <w:tcW w:w="650"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p>
        </w:tc>
        <w:tc>
          <w:tcPr>
            <w:tcW w:w="820"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lang w:val="en-US" w:eastAsia="zh-CN"/>
              </w:rPr>
            </w:pPr>
          </w:p>
        </w:tc>
        <w:tc>
          <w:tcPr>
            <w:tcW w:w="831"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4" w:hRule="atLeast"/>
        </w:trPr>
        <w:tc>
          <w:tcPr>
            <w:tcW w:w="1906" w:type="dxa"/>
            <w:gridSpan w:val="3"/>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其中：本年财政拨款</w:t>
            </w:r>
          </w:p>
        </w:tc>
        <w:tc>
          <w:tcPr>
            <w:tcW w:w="1102"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220.2</w:t>
            </w:r>
          </w:p>
        </w:tc>
        <w:tc>
          <w:tcPr>
            <w:tcW w:w="1444" w:type="dxa"/>
            <w:gridSpan w:val="2"/>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220.2</w:t>
            </w:r>
          </w:p>
        </w:tc>
        <w:tc>
          <w:tcPr>
            <w:tcW w:w="650"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一</w:t>
            </w:r>
          </w:p>
        </w:tc>
        <w:tc>
          <w:tcPr>
            <w:tcW w:w="820"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p>
        </w:tc>
        <w:tc>
          <w:tcPr>
            <w:tcW w:w="831"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其他资金</w:t>
            </w:r>
          </w:p>
        </w:tc>
        <w:tc>
          <w:tcPr>
            <w:tcW w:w="1102"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p>
        </w:tc>
        <w:tc>
          <w:tcPr>
            <w:tcW w:w="1444" w:type="dxa"/>
            <w:gridSpan w:val="2"/>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一</w:t>
            </w:r>
          </w:p>
        </w:tc>
        <w:tc>
          <w:tcPr>
            <w:tcW w:w="820"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p>
        </w:tc>
        <w:tc>
          <w:tcPr>
            <w:tcW w:w="831" w:type="dxa"/>
            <w:vAlign w:val="top"/>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6"/>
                <w:sz w:val="21"/>
                <w:szCs w:val="21"/>
              </w:rPr>
            </w:pPr>
            <w:r>
              <w:rPr>
                <w:rFonts w:hint="eastAsia" w:ascii="仿宋" w:hAnsi="仿宋" w:eastAsia="仿宋" w:cs="仿宋"/>
                <w:spacing w:val="6"/>
                <w:sz w:val="21"/>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53"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176" w:line="440" w:lineRule="exact"/>
              <w:ind w:left="184"/>
              <w:jc w:val="both"/>
              <w:textAlignment w:val="auto"/>
              <w:rPr>
                <w:rFonts w:hint="eastAsia" w:ascii="仿宋" w:hAnsi="仿宋" w:eastAsia="仿宋" w:cs="仿宋"/>
                <w:sz w:val="21"/>
                <w:szCs w:val="21"/>
              </w:rPr>
            </w:pPr>
            <w:r>
              <w:rPr>
                <w:rFonts w:hint="eastAsia" w:ascii="仿宋" w:hAnsi="仿宋" w:eastAsia="仿宋" w:cs="仿宋"/>
                <w:spacing w:val="10"/>
                <w:sz w:val="21"/>
                <w:szCs w:val="21"/>
              </w:rPr>
              <w:t>年度总体目</w:t>
            </w:r>
            <w:r>
              <w:rPr>
                <w:rFonts w:hint="eastAsia" w:ascii="仿宋" w:hAnsi="仿宋" w:eastAsia="仿宋" w:cs="仿宋"/>
                <w:spacing w:val="8"/>
                <w:sz w:val="21"/>
                <w:szCs w:val="21"/>
              </w:rPr>
              <w:t>标</w:t>
            </w:r>
          </w:p>
        </w:tc>
        <w:tc>
          <w:tcPr>
            <w:tcW w:w="3834" w:type="dxa"/>
            <w:gridSpan w:val="4"/>
            <w:vAlign w:val="top"/>
          </w:tcPr>
          <w:p>
            <w:pPr>
              <w:keepNext w:val="0"/>
              <w:keepLines w:val="0"/>
              <w:pageBreakBefore w:val="0"/>
              <w:kinsoku/>
              <w:wordWrap/>
              <w:overflowPunct/>
              <w:topLinePunct w:val="0"/>
              <w:autoSpaceDE/>
              <w:autoSpaceDN/>
              <w:bidi w:val="0"/>
              <w:adjustRightInd/>
              <w:snapToGrid/>
              <w:spacing w:before="103" w:line="440" w:lineRule="exact"/>
              <w:jc w:val="center"/>
              <w:textAlignment w:val="auto"/>
              <w:rPr>
                <w:rFonts w:hint="eastAsia" w:ascii="仿宋" w:hAnsi="仿宋" w:eastAsia="仿宋" w:cs="仿宋"/>
                <w:sz w:val="21"/>
                <w:szCs w:val="21"/>
              </w:rPr>
            </w:pPr>
            <w:r>
              <w:rPr>
                <w:rFonts w:hint="eastAsia" w:ascii="仿宋" w:hAnsi="仿宋" w:eastAsia="仿宋" w:cs="仿宋"/>
                <w:spacing w:val="10"/>
                <w:sz w:val="21"/>
                <w:szCs w:val="21"/>
              </w:rPr>
              <w:t>年</w:t>
            </w:r>
            <w:r>
              <w:rPr>
                <w:rFonts w:hint="eastAsia" w:ascii="仿宋" w:hAnsi="仿宋" w:eastAsia="仿宋" w:cs="仿宋"/>
                <w:spacing w:val="8"/>
                <w:sz w:val="21"/>
                <w:szCs w:val="21"/>
              </w:rPr>
              <w:t>初设定目标</w:t>
            </w:r>
          </w:p>
        </w:tc>
        <w:tc>
          <w:tcPr>
            <w:tcW w:w="3745" w:type="dxa"/>
            <w:gridSpan w:val="5"/>
            <w:vAlign w:val="top"/>
          </w:tcPr>
          <w:p>
            <w:pPr>
              <w:keepNext w:val="0"/>
              <w:keepLines w:val="0"/>
              <w:pageBreakBefore w:val="0"/>
              <w:kinsoku/>
              <w:wordWrap/>
              <w:overflowPunct/>
              <w:topLinePunct w:val="0"/>
              <w:autoSpaceDE/>
              <w:autoSpaceDN/>
              <w:bidi w:val="0"/>
              <w:adjustRightInd/>
              <w:snapToGrid/>
              <w:spacing w:before="103" w:line="440" w:lineRule="exact"/>
              <w:jc w:val="center"/>
              <w:textAlignment w:val="auto"/>
              <w:rPr>
                <w:rFonts w:hint="eastAsia" w:ascii="仿宋" w:hAnsi="仿宋" w:eastAsia="仿宋" w:cs="仿宋"/>
                <w:sz w:val="21"/>
                <w:szCs w:val="21"/>
              </w:rPr>
            </w:pPr>
            <w:r>
              <w:rPr>
                <w:rFonts w:hint="eastAsia" w:ascii="仿宋" w:hAnsi="仿宋" w:eastAsia="仿宋" w:cs="仿宋"/>
                <w:spacing w:val="10"/>
                <w:sz w:val="21"/>
                <w:szCs w:val="21"/>
              </w:rPr>
              <w:t>年度总体目标完成情况综述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08" w:hRule="atLeast"/>
        </w:trPr>
        <w:tc>
          <w:tcPr>
            <w:tcW w:w="553" w:type="dxa"/>
            <w:vMerge w:val="continue"/>
            <w:tcBorders>
              <w:top w:val="nil"/>
            </w:tcBorders>
            <w:textDirection w:val="tbRlV"/>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3834" w:type="dxa"/>
            <w:gridSpan w:val="4"/>
            <w:vAlign w:val="top"/>
          </w:tcPr>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对县域范围内的因松材线虫病危害造成松树死亡，由政府组织开展清除工作，确保疫情不扩散。</w:t>
            </w:r>
          </w:p>
        </w:tc>
        <w:tc>
          <w:tcPr>
            <w:tcW w:w="3745" w:type="dxa"/>
            <w:gridSpan w:val="5"/>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2021年度绥宁县林业重大有害生物防治工作已经完成，业绩得到好评。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553" w:type="dxa"/>
            <w:vMerge w:val="restart"/>
            <w:tcBorders>
              <w:bottom w:val="nil"/>
            </w:tcBorders>
            <w:vAlign w:val="bottom"/>
          </w:tcPr>
          <w:p>
            <w:pPr>
              <w:keepNext w:val="0"/>
              <w:keepLines w:val="0"/>
              <w:pageBreakBefore w:val="0"/>
              <w:kinsoku/>
              <w:wordWrap/>
              <w:overflowPunct/>
              <w:topLinePunct w:val="0"/>
              <w:autoSpaceDE/>
              <w:autoSpaceDN/>
              <w:bidi w:val="0"/>
              <w:adjustRightInd/>
              <w:snapToGrid/>
              <w:spacing w:before="62" w:line="440" w:lineRule="exact"/>
              <w:ind w:right="75"/>
              <w:jc w:val="center"/>
              <w:textAlignment w:val="auto"/>
              <w:rPr>
                <w:rFonts w:hint="eastAsia" w:ascii="仿宋" w:hAnsi="仿宋" w:eastAsia="仿宋" w:cs="仿宋"/>
                <w:spacing w:val="2"/>
                <w:sz w:val="21"/>
                <w:szCs w:val="21"/>
              </w:rPr>
            </w:pPr>
            <w:r>
              <w:rPr>
                <w:rFonts w:hint="eastAsia" w:ascii="仿宋" w:hAnsi="仿宋" w:eastAsia="仿宋" w:cs="仿宋"/>
                <w:spacing w:val="2"/>
                <w:sz w:val="21"/>
                <w:szCs w:val="21"/>
              </w:rPr>
              <w:t>绩</w:t>
            </w:r>
          </w:p>
          <w:p>
            <w:pPr>
              <w:keepNext w:val="0"/>
              <w:keepLines w:val="0"/>
              <w:pageBreakBefore w:val="0"/>
              <w:kinsoku/>
              <w:wordWrap/>
              <w:overflowPunct/>
              <w:topLinePunct w:val="0"/>
              <w:autoSpaceDE/>
              <w:autoSpaceDN/>
              <w:bidi w:val="0"/>
              <w:adjustRightInd/>
              <w:snapToGrid/>
              <w:spacing w:before="62" w:line="440" w:lineRule="exact"/>
              <w:ind w:right="75"/>
              <w:jc w:val="center"/>
              <w:textAlignment w:val="auto"/>
              <w:rPr>
                <w:rFonts w:hint="eastAsia" w:ascii="仿宋" w:hAnsi="仿宋" w:eastAsia="仿宋" w:cs="仿宋"/>
                <w:spacing w:val="2"/>
                <w:sz w:val="21"/>
                <w:szCs w:val="21"/>
              </w:rPr>
            </w:pPr>
            <w:r>
              <w:rPr>
                <w:rFonts w:hint="eastAsia" w:ascii="仿宋" w:hAnsi="仿宋" w:eastAsia="仿宋" w:cs="仿宋"/>
                <w:spacing w:val="2"/>
                <w:sz w:val="21"/>
                <w:szCs w:val="21"/>
              </w:rPr>
              <w:t>效</w:t>
            </w:r>
          </w:p>
          <w:p>
            <w:pPr>
              <w:keepNext w:val="0"/>
              <w:keepLines w:val="0"/>
              <w:pageBreakBefore w:val="0"/>
              <w:kinsoku/>
              <w:wordWrap/>
              <w:overflowPunct/>
              <w:topLinePunct w:val="0"/>
              <w:autoSpaceDE/>
              <w:autoSpaceDN/>
              <w:bidi w:val="0"/>
              <w:adjustRightInd/>
              <w:snapToGrid/>
              <w:spacing w:before="62" w:line="440" w:lineRule="exact"/>
              <w:ind w:right="75"/>
              <w:jc w:val="center"/>
              <w:textAlignment w:val="auto"/>
              <w:rPr>
                <w:rFonts w:hint="eastAsia" w:ascii="仿宋" w:hAnsi="仿宋" w:eastAsia="仿宋" w:cs="仿宋"/>
                <w:spacing w:val="4"/>
                <w:sz w:val="21"/>
                <w:szCs w:val="21"/>
              </w:rPr>
            </w:pPr>
            <w:r>
              <w:rPr>
                <w:rFonts w:hint="eastAsia" w:ascii="仿宋" w:hAnsi="仿宋" w:eastAsia="仿宋" w:cs="仿宋"/>
                <w:spacing w:val="4"/>
                <w:sz w:val="21"/>
                <w:szCs w:val="21"/>
              </w:rPr>
              <w:t>指</w:t>
            </w:r>
          </w:p>
          <w:p>
            <w:pPr>
              <w:keepNext w:val="0"/>
              <w:keepLines w:val="0"/>
              <w:pageBreakBefore w:val="0"/>
              <w:kinsoku/>
              <w:wordWrap/>
              <w:overflowPunct/>
              <w:topLinePunct w:val="0"/>
              <w:autoSpaceDE/>
              <w:autoSpaceDN/>
              <w:bidi w:val="0"/>
              <w:adjustRightInd/>
              <w:snapToGrid/>
              <w:spacing w:before="62" w:line="440" w:lineRule="exact"/>
              <w:ind w:right="75"/>
              <w:jc w:val="center"/>
              <w:textAlignment w:val="auto"/>
              <w:rPr>
                <w:rFonts w:hint="eastAsia" w:ascii="仿宋" w:hAnsi="仿宋" w:eastAsia="仿宋" w:cs="仿宋"/>
                <w:sz w:val="21"/>
                <w:szCs w:val="21"/>
              </w:rPr>
            </w:pPr>
            <w:r>
              <w:rPr>
                <w:rFonts w:hint="eastAsia" w:ascii="仿宋" w:hAnsi="仿宋" w:eastAsia="仿宋" w:cs="仿宋"/>
                <w:spacing w:val="4"/>
                <w:sz w:val="21"/>
                <w:szCs w:val="21"/>
              </w:rPr>
              <w:t>标</w:t>
            </w:r>
          </w:p>
        </w:tc>
        <w:tc>
          <w:tcPr>
            <w:tcW w:w="695"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一级指标</w:t>
            </w:r>
          </w:p>
        </w:tc>
        <w:tc>
          <w:tcPr>
            <w:tcW w:w="658"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二级指标</w:t>
            </w:r>
          </w:p>
        </w:tc>
        <w:tc>
          <w:tcPr>
            <w:tcW w:w="1379"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三级指标</w:t>
            </w:r>
          </w:p>
        </w:tc>
        <w:tc>
          <w:tcPr>
            <w:tcW w:w="1102" w:type="dxa"/>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分值</w:t>
            </w:r>
          </w:p>
        </w:tc>
        <w:tc>
          <w:tcPr>
            <w:tcW w:w="738"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年度指标值</w:t>
            </w:r>
          </w:p>
        </w:tc>
        <w:tc>
          <w:tcPr>
            <w:tcW w:w="706"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全年实际值</w:t>
            </w:r>
          </w:p>
        </w:tc>
        <w:tc>
          <w:tcPr>
            <w:tcW w:w="650" w:type="dxa"/>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eastAsia" w:ascii="仿宋" w:hAnsi="仿宋" w:eastAsia="仿宋" w:cs="仿宋"/>
                <w:spacing w:val="8"/>
                <w:sz w:val="21"/>
                <w:szCs w:val="21"/>
              </w:rPr>
            </w:pPr>
            <w:r>
              <w:rPr>
                <w:rFonts w:hint="eastAsia" w:ascii="仿宋" w:hAnsi="仿宋" w:eastAsia="仿宋" w:cs="仿宋"/>
                <w:spacing w:val="8"/>
                <w:sz w:val="21"/>
                <w:szCs w:val="21"/>
              </w:rPr>
              <w:t>得分</w:t>
            </w:r>
          </w:p>
        </w:tc>
        <w:tc>
          <w:tcPr>
            <w:tcW w:w="1651" w:type="dxa"/>
            <w:gridSpan w:val="2"/>
            <w:vAlign w:val="center"/>
          </w:tcPr>
          <w:p>
            <w:pPr>
              <w:keepNext w:val="0"/>
              <w:keepLines w:val="0"/>
              <w:pageBreakBefore w:val="0"/>
              <w:kinsoku/>
              <w:wordWrap/>
              <w:overflowPunct/>
              <w:topLinePunct w:val="0"/>
              <w:autoSpaceDE/>
              <w:autoSpaceDN/>
              <w:bidi w:val="0"/>
              <w:adjustRightInd/>
              <w:snapToGrid/>
              <w:spacing w:before="59" w:line="440" w:lineRule="exact"/>
              <w:jc w:val="center"/>
              <w:textAlignment w:val="auto"/>
              <w:rPr>
                <w:rFonts w:hint="default"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未完成的原因及拟采取的改进措施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58" w:line="440" w:lineRule="exac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产</w:t>
            </w:r>
            <w:r>
              <w:rPr>
                <w:rFonts w:hint="eastAsia" w:ascii="仿宋" w:hAnsi="仿宋" w:eastAsia="仿宋" w:cs="仿宋"/>
                <w:sz w:val="21"/>
                <w:szCs w:val="21"/>
              </w:rPr>
              <w:t>出指</w:t>
            </w:r>
            <w:r>
              <w:rPr>
                <w:rFonts w:hint="eastAsia" w:ascii="仿宋" w:hAnsi="仿宋" w:eastAsia="仿宋" w:cs="仿宋"/>
                <w:spacing w:val="-3"/>
                <w:sz w:val="21"/>
                <w:szCs w:val="21"/>
              </w:rPr>
              <w:t>标</w:t>
            </w:r>
            <w:r>
              <w:rPr>
                <w:rFonts w:hint="eastAsia" w:ascii="仿宋" w:hAnsi="仿宋" w:eastAsia="仿宋" w:cs="仿宋"/>
                <w:spacing w:val="-1"/>
                <w:sz w:val="21"/>
                <w:szCs w:val="21"/>
              </w:rPr>
              <w:t>(5</w:t>
            </w:r>
            <w:r>
              <w:rPr>
                <w:rFonts w:hint="eastAsia" w:ascii="仿宋" w:hAnsi="仿宋" w:eastAsia="仿宋" w:cs="仿宋"/>
                <w:sz w:val="21"/>
                <w:szCs w:val="21"/>
              </w:rPr>
              <w:t>0分)</w:t>
            </w: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213" w:line="440" w:lineRule="exact"/>
              <w:jc w:val="center"/>
              <w:textAlignment w:val="auto"/>
              <w:rPr>
                <w:rFonts w:hint="eastAsia" w:ascii="仿宋" w:hAnsi="仿宋" w:eastAsia="仿宋" w:cs="仿宋"/>
                <w:sz w:val="21"/>
                <w:szCs w:val="21"/>
              </w:rPr>
            </w:pPr>
            <w:r>
              <w:rPr>
                <w:rFonts w:hint="eastAsia" w:ascii="仿宋" w:hAnsi="仿宋" w:eastAsia="仿宋" w:cs="仿宋"/>
                <w:spacing w:val="8"/>
                <w:sz w:val="21"/>
                <w:szCs w:val="21"/>
              </w:rPr>
              <w:t>数量指标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212" w:line="440" w:lineRule="exact"/>
              <w:jc w:val="center"/>
              <w:textAlignment w:val="auto"/>
              <w:rPr>
                <w:rFonts w:hint="eastAsia" w:ascii="仿宋" w:hAnsi="仿宋" w:eastAsia="仿宋" w:cs="仿宋"/>
                <w:sz w:val="21"/>
                <w:szCs w:val="21"/>
              </w:rPr>
            </w:pPr>
            <w:r>
              <w:rPr>
                <w:rFonts w:hint="eastAsia" w:ascii="仿宋" w:hAnsi="仿宋" w:eastAsia="仿宋" w:cs="仿宋"/>
                <w:spacing w:val="8"/>
                <w:sz w:val="21"/>
                <w:szCs w:val="21"/>
              </w:rPr>
              <w:t>质量指标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kern w:val="2"/>
                <w:sz w:val="21"/>
                <w:szCs w:val="21"/>
                <w:lang w:val="en-US" w:eastAsia="zh-CN" w:bidi="ar-SA"/>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213" w:line="440" w:lineRule="exact"/>
              <w:jc w:val="center"/>
              <w:textAlignment w:val="auto"/>
              <w:rPr>
                <w:rFonts w:hint="eastAsia" w:ascii="仿宋" w:hAnsi="仿宋" w:eastAsia="仿宋" w:cs="仿宋"/>
                <w:sz w:val="21"/>
                <w:szCs w:val="21"/>
              </w:rPr>
            </w:pPr>
            <w:r>
              <w:rPr>
                <w:rFonts w:hint="eastAsia" w:ascii="仿宋" w:hAnsi="仿宋" w:eastAsia="仿宋" w:cs="仿宋"/>
                <w:spacing w:val="4"/>
                <w:sz w:val="21"/>
                <w:szCs w:val="21"/>
              </w:rPr>
              <w:t>时</w:t>
            </w:r>
            <w:r>
              <w:rPr>
                <w:rFonts w:hint="eastAsia" w:ascii="仿宋" w:hAnsi="仿宋" w:eastAsia="仿宋" w:cs="仿宋"/>
                <w:spacing w:val="3"/>
                <w:sz w:val="21"/>
                <w:szCs w:val="21"/>
              </w:rPr>
              <w:t>效指标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212" w:line="440" w:lineRule="exact"/>
              <w:jc w:val="center"/>
              <w:textAlignment w:val="auto"/>
              <w:rPr>
                <w:rFonts w:hint="eastAsia" w:ascii="仿宋" w:hAnsi="仿宋" w:eastAsia="仿宋" w:cs="仿宋"/>
                <w:sz w:val="21"/>
                <w:szCs w:val="21"/>
              </w:rPr>
            </w:pPr>
            <w:r>
              <w:rPr>
                <w:rFonts w:hint="eastAsia" w:ascii="仿宋" w:hAnsi="仿宋" w:eastAsia="仿宋" w:cs="仿宋"/>
                <w:spacing w:val="8"/>
                <w:sz w:val="21"/>
                <w:szCs w:val="21"/>
              </w:rPr>
              <w:t>成</w:t>
            </w:r>
            <w:r>
              <w:rPr>
                <w:rFonts w:hint="eastAsia" w:ascii="仿宋" w:hAnsi="仿宋" w:eastAsia="仿宋" w:cs="仿宋"/>
                <w:spacing w:val="6"/>
                <w:sz w:val="21"/>
                <w:szCs w:val="21"/>
              </w:rPr>
              <w:t>本指标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59" w:line="440" w:lineRule="exact"/>
              <w:ind w:right="62"/>
              <w:jc w:val="center"/>
              <w:textAlignment w:val="auto"/>
              <w:rPr>
                <w:rFonts w:hint="eastAsia" w:ascii="仿宋" w:hAnsi="仿宋" w:eastAsia="仿宋" w:cs="仿宋"/>
                <w:sz w:val="21"/>
                <w:szCs w:val="21"/>
              </w:rPr>
            </w:pPr>
            <w:r>
              <w:rPr>
                <w:rFonts w:hint="eastAsia" w:ascii="仿宋" w:hAnsi="仿宋" w:eastAsia="仿宋" w:cs="仿宋"/>
                <w:spacing w:val="6"/>
                <w:sz w:val="21"/>
                <w:szCs w:val="21"/>
              </w:rPr>
              <w:t>效</w:t>
            </w:r>
            <w:r>
              <w:rPr>
                <w:rFonts w:hint="eastAsia" w:ascii="仿宋" w:hAnsi="仿宋" w:eastAsia="仿宋" w:cs="仿宋"/>
                <w:spacing w:val="5"/>
                <w:sz w:val="21"/>
                <w:szCs w:val="21"/>
              </w:rPr>
              <w:t>益指标</w:t>
            </w:r>
            <w:r>
              <w:rPr>
                <w:rFonts w:hint="eastAsia" w:ascii="仿宋" w:hAnsi="仿宋" w:eastAsia="仿宋" w:cs="仿宋"/>
                <w:spacing w:val="4"/>
                <w:sz w:val="21"/>
                <w:szCs w:val="21"/>
              </w:rPr>
              <w:t>(30</w:t>
            </w:r>
            <w:r>
              <w:rPr>
                <w:rFonts w:hint="eastAsia" w:ascii="仿宋" w:hAnsi="仿宋" w:eastAsia="仿宋" w:cs="仿宋"/>
                <w:spacing w:val="20"/>
                <w:sz w:val="21"/>
                <w:szCs w:val="21"/>
              </w:rPr>
              <w:t>分</w:t>
            </w:r>
            <w:r>
              <w:rPr>
                <w:rFonts w:hint="eastAsia" w:ascii="仿宋" w:hAnsi="仿宋" w:eastAsia="仿宋" w:cs="仿宋"/>
                <w:spacing w:val="19"/>
                <w:sz w:val="21"/>
                <w:szCs w:val="21"/>
              </w:rPr>
              <w:t>)</w:t>
            </w: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111" w:line="440" w:lineRule="exact"/>
              <w:ind w:right="119"/>
              <w:jc w:val="center"/>
              <w:textAlignment w:val="auto"/>
              <w:rPr>
                <w:rFonts w:hint="eastAsia" w:ascii="仿宋" w:hAnsi="仿宋" w:eastAsia="仿宋" w:cs="仿宋"/>
                <w:sz w:val="21"/>
                <w:szCs w:val="21"/>
              </w:rPr>
            </w:pPr>
            <w:r>
              <w:rPr>
                <w:rFonts w:hint="eastAsia" w:ascii="仿宋" w:hAnsi="仿宋" w:eastAsia="仿宋" w:cs="仿宋"/>
                <w:spacing w:val="8"/>
                <w:sz w:val="21"/>
                <w:szCs w:val="21"/>
              </w:rPr>
              <w:t>经</w:t>
            </w:r>
            <w:r>
              <w:rPr>
                <w:rFonts w:hint="eastAsia" w:ascii="仿宋" w:hAnsi="仿宋" w:eastAsia="仿宋" w:cs="仿宋"/>
                <w:spacing w:val="6"/>
                <w:sz w:val="21"/>
                <w:szCs w:val="21"/>
              </w:rPr>
              <w:t>济效益</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8"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7" w:line="440" w:lineRule="exact"/>
              <w:ind w:right="119"/>
              <w:jc w:val="center"/>
              <w:textAlignment w:val="auto"/>
              <w:rPr>
                <w:rFonts w:hint="eastAsia" w:ascii="仿宋" w:hAnsi="仿宋" w:eastAsia="仿宋" w:cs="仿宋"/>
                <w:sz w:val="21"/>
                <w:szCs w:val="21"/>
              </w:rPr>
            </w:pPr>
            <w:r>
              <w:rPr>
                <w:rFonts w:hint="eastAsia" w:ascii="仿宋" w:hAnsi="仿宋" w:eastAsia="仿宋" w:cs="仿宋"/>
                <w:spacing w:val="7"/>
                <w:sz w:val="21"/>
                <w:szCs w:val="21"/>
              </w:rPr>
              <w:t>社会效</w:t>
            </w:r>
            <w:r>
              <w:rPr>
                <w:rFonts w:hint="eastAsia" w:ascii="仿宋" w:hAnsi="仿宋" w:eastAsia="仿宋" w:cs="仿宋"/>
                <w:spacing w:val="6"/>
                <w:sz w:val="21"/>
                <w:szCs w:val="21"/>
              </w:rPr>
              <w:t>益</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0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111" w:line="440" w:lineRule="exact"/>
              <w:ind w:right="23"/>
              <w:jc w:val="center"/>
              <w:textAlignment w:val="auto"/>
              <w:rPr>
                <w:rFonts w:hint="eastAsia" w:ascii="仿宋" w:hAnsi="仿宋" w:eastAsia="仿宋" w:cs="仿宋"/>
                <w:sz w:val="21"/>
                <w:szCs w:val="21"/>
              </w:rPr>
            </w:pPr>
            <w:r>
              <w:rPr>
                <w:rFonts w:hint="eastAsia" w:ascii="仿宋" w:hAnsi="仿宋" w:eastAsia="仿宋" w:cs="仿宋"/>
                <w:spacing w:val="7"/>
                <w:sz w:val="21"/>
                <w:szCs w:val="21"/>
              </w:rPr>
              <w:t>生</w:t>
            </w:r>
            <w:r>
              <w:rPr>
                <w:rFonts w:hint="eastAsia" w:ascii="仿宋" w:hAnsi="仿宋" w:eastAsia="仿宋" w:cs="仿宋"/>
                <w:spacing w:val="6"/>
                <w:sz w:val="21"/>
                <w:szCs w:val="21"/>
              </w:rPr>
              <w:t>态效益指</w:t>
            </w:r>
            <w:r>
              <w:rPr>
                <w:rFonts w:hint="eastAsia" w:ascii="仿宋" w:hAnsi="仿宋" w:eastAsia="仿宋" w:cs="仿宋"/>
                <w:spacing w:val="4"/>
                <w:sz w:val="21"/>
                <w:szCs w:val="21"/>
              </w:rPr>
              <w:t>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111" w:line="440" w:lineRule="exact"/>
              <w:ind w:right="23"/>
              <w:jc w:val="center"/>
              <w:textAlignment w:val="auto"/>
              <w:rPr>
                <w:rFonts w:hint="eastAsia" w:ascii="仿宋" w:hAnsi="仿宋" w:eastAsia="仿宋" w:cs="仿宋"/>
                <w:sz w:val="21"/>
                <w:szCs w:val="21"/>
              </w:rPr>
            </w:pPr>
            <w:r>
              <w:rPr>
                <w:rFonts w:hint="eastAsia" w:ascii="仿宋" w:hAnsi="仿宋" w:eastAsia="仿宋" w:cs="仿宋"/>
                <w:spacing w:val="7"/>
                <w:sz w:val="21"/>
                <w:szCs w:val="21"/>
              </w:rPr>
              <w:t>可持续影响</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4" w:line="440" w:lineRule="exact"/>
              <w:ind w:right="62"/>
              <w:jc w:val="center"/>
              <w:textAlignment w:val="auto"/>
              <w:rPr>
                <w:rFonts w:hint="eastAsia" w:ascii="仿宋" w:hAnsi="仿宋" w:eastAsia="仿宋" w:cs="仿宋"/>
                <w:sz w:val="21"/>
                <w:szCs w:val="21"/>
              </w:rPr>
            </w:pPr>
            <w:r>
              <w:rPr>
                <w:rFonts w:hint="eastAsia" w:ascii="仿宋" w:hAnsi="仿宋" w:eastAsia="仿宋" w:cs="仿宋"/>
                <w:spacing w:val="5"/>
                <w:sz w:val="21"/>
                <w:szCs w:val="21"/>
              </w:rPr>
              <w:t>满</w:t>
            </w:r>
            <w:r>
              <w:rPr>
                <w:rFonts w:hint="eastAsia" w:ascii="仿宋" w:hAnsi="仿宋" w:eastAsia="仿宋" w:cs="仿宋"/>
                <w:spacing w:val="4"/>
                <w:sz w:val="21"/>
                <w:szCs w:val="21"/>
              </w:rPr>
              <w:t>意度</w:t>
            </w:r>
            <w:r>
              <w:rPr>
                <w:rFonts w:hint="eastAsia" w:ascii="仿宋" w:hAnsi="仿宋" w:eastAsia="仿宋" w:cs="仿宋"/>
                <w:sz w:val="21"/>
                <w:szCs w:val="21"/>
              </w:rPr>
              <w:t>指</w:t>
            </w:r>
            <w:r>
              <w:rPr>
                <w:rFonts w:hint="eastAsia" w:ascii="仿宋" w:hAnsi="仿宋" w:eastAsia="仿宋" w:cs="仿宋"/>
                <w:spacing w:val="4"/>
                <w:sz w:val="21"/>
                <w:szCs w:val="21"/>
              </w:rPr>
              <w:t>标(10)</w:t>
            </w:r>
            <w:r>
              <w:rPr>
                <w:rFonts w:hint="eastAsia" w:ascii="仿宋" w:hAnsi="仿宋" w:eastAsia="仿宋" w:cs="仿宋"/>
                <w:spacing w:val="1"/>
                <w:sz w:val="21"/>
                <w:szCs w:val="21"/>
              </w:rPr>
              <w:t>分</w:t>
            </w:r>
          </w:p>
        </w:tc>
        <w:tc>
          <w:tcPr>
            <w:tcW w:w="658" w:type="dxa"/>
            <w:vMerge w:val="restart"/>
            <w:tcBorders>
              <w:bottom w:val="nil"/>
            </w:tcBorders>
            <w:vAlign w:val="center"/>
          </w:tcPr>
          <w:p>
            <w:pPr>
              <w:keepNext w:val="0"/>
              <w:keepLines w:val="0"/>
              <w:pageBreakBefore w:val="0"/>
              <w:kinsoku/>
              <w:wordWrap/>
              <w:overflowPunct/>
              <w:topLinePunct w:val="0"/>
              <w:autoSpaceDE/>
              <w:autoSpaceDN/>
              <w:bidi w:val="0"/>
              <w:adjustRightInd/>
              <w:snapToGrid/>
              <w:spacing w:before="101" w:line="440" w:lineRule="exact"/>
              <w:jc w:val="center"/>
              <w:textAlignment w:val="auto"/>
              <w:rPr>
                <w:rFonts w:hint="eastAsia" w:ascii="仿宋" w:hAnsi="仿宋" w:eastAsia="仿宋" w:cs="仿宋"/>
                <w:sz w:val="21"/>
                <w:szCs w:val="21"/>
              </w:rPr>
            </w:pPr>
            <w:r>
              <w:rPr>
                <w:rFonts w:hint="eastAsia" w:ascii="仿宋" w:hAnsi="仿宋" w:eastAsia="仿宋" w:cs="仿宋"/>
                <w:spacing w:val="9"/>
                <w:sz w:val="21"/>
                <w:szCs w:val="21"/>
              </w:rPr>
              <w:t>服</w:t>
            </w:r>
            <w:r>
              <w:rPr>
                <w:rFonts w:hint="eastAsia" w:ascii="仿宋" w:hAnsi="仿宋" w:eastAsia="仿宋" w:cs="仿宋"/>
                <w:spacing w:val="8"/>
                <w:sz w:val="21"/>
                <w:szCs w:val="21"/>
              </w:rPr>
              <w:t>务对象满</w:t>
            </w:r>
            <w:r>
              <w:rPr>
                <w:rFonts w:hint="eastAsia" w:ascii="仿宋" w:hAnsi="仿宋" w:eastAsia="仿宋" w:cs="仿宋"/>
                <w:spacing w:val="3"/>
                <w:sz w:val="21"/>
                <w:szCs w:val="21"/>
              </w:rPr>
              <w:t>意度指</w:t>
            </w:r>
            <w:r>
              <w:rPr>
                <w:rFonts w:hint="eastAsia" w:ascii="仿宋" w:hAnsi="仿宋" w:eastAsia="仿宋" w:cs="仿宋"/>
                <w:spacing w:val="4"/>
                <w:sz w:val="21"/>
                <w:szCs w:val="21"/>
              </w:rPr>
              <w:t>标</w:t>
            </w: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5" w:hRule="atLeast"/>
        </w:trPr>
        <w:tc>
          <w:tcPr>
            <w:tcW w:w="553"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bottom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3"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95"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658" w:type="dxa"/>
            <w:vMerge w:val="continue"/>
            <w:tcBorders>
              <w:top w:val="nil"/>
            </w:tcBorders>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379" w:type="dxa"/>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c>
          <w:tcPr>
            <w:tcW w:w="1102"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38"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706"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0" w:hRule="atLeast"/>
        </w:trPr>
        <w:tc>
          <w:tcPr>
            <w:tcW w:w="3285" w:type="dxa"/>
            <w:gridSpan w:val="4"/>
            <w:vAlign w:val="top"/>
          </w:tcPr>
          <w:p>
            <w:pPr>
              <w:keepNext w:val="0"/>
              <w:keepLines w:val="0"/>
              <w:pageBreakBefore w:val="0"/>
              <w:kinsoku/>
              <w:wordWrap/>
              <w:overflowPunct/>
              <w:topLinePunct w:val="0"/>
              <w:autoSpaceDE/>
              <w:autoSpaceDN/>
              <w:bidi w:val="0"/>
              <w:adjustRightInd/>
              <w:snapToGrid/>
              <w:spacing w:before="71" w:line="440" w:lineRule="exact"/>
              <w:jc w:val="center"/>
              <w:textAlignment w:val="auto"/>
              <w:rPr>
                <w:rFonts w:hint="eastAsia" w:ascii="仿宋" w:hAnsi="仿宋" w:eastAsia="仿宋" w:cs="仿宋"/>
                <w:sz w:val="21"/>
                <w:szCs w:val="21"/>
              </w:rPr>
            </w:pPr>
            <w:r>
              <w:rPr>
                <w:rFonts w:hint="eastAsia" w:ascii="仿宋" w:hAnsi="仿宋" w:eastAsia="仿宋" w:cs="仿宋"/>
                <w:spacing w:val="-1"/>
                <w:sz w:val="21"/>
                <w:szCs w:val="21"/>
              </w:rPr>
              <w:t>总</w:t>
            </w:r>
            <w:r>
              <w:rPr>
                <w:rFonts w:hint="eastAsia" w:ascii="仿宋" w:hAnsi="仿宋" w:eastAsia="仿宋" w:cs="仿宋"/>
                <w:sz w:val="21"/>
                <w:szCs w:val="21"/>
              </w:rPr>
              <w:t>分</w:t>
            </w:r>
          </w:p>
        </w:tc>
        <w:tc>
          <w:tcPr>
            <w:tcW w:w="1102" w:type="dxa"/>
            <w:vAlign w:val="top"/>
          </w:tcPr>
          <w:p>
            <w:pPr>
              <w:keepNext w:val="0"/>
              <w:keepLines w:val="0"/>
              <w:pageBreakBefore w:val="0"/>
              <w:kinsoku/>
              <w:wordWrap/>
              <w:overflowPunct/>
              <w:topLinePunct w:val="0"/>
              <w:autoSpaceDE/>
              <w:autoSpaceDN/>
              <w:bidi w:val="0"/>
              <w:adjustRightInd/>
              <w:snapToGrid/>
              <w:spacing w:before="104" w:line="440" w:lineRule="exact"/>
              <w:jc w:val="center"/>
              <w:textAlignment w:val="auto"/>
              <w:rPr>
                <w:rFonts w:hint="eastAsia" w:ascii="仿宋" w:hAnsi="仿宋" w:eastAsia="仿宋" w:cs="仿宋"/>
                <w:sz w:val="21"/>
                <w:szCs w:val="21"/>
              </w:rPr>
            </w:pPr>
            <w:r>
              <w:rPr>
                <w:rFonts w:hint="eastAsia" w:ascii="仿宋" w:hAnsi="仿宋" w:eastAsia="仿宋" w:cs="仿宋"/>
                <w:spacing w:val="-2"/>
                <w:sz w:val="21"/>
                <w:szCs w:val="21"/>
              </w:rPr>
              <w:t>100</w:t>
            </w:r>
          </w:p>
        </w:tc>
        <w:tc>
          <w:tcPr>
            <w:tcW w:w="1444" w:type="dxa"/>
            <w:gridSpan w:val="2"/>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rPr>
            </w:pPr>
          </w:p>
        </w:tc>
        <w:tc>
          <w:tcPr>
            <w:tcW w:w="650" w:type="dxa"/>
            <w:vAlign w:val="top"/>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98</w:t>
            </w:r>
          </w:p>
        </w:tc>
        <w:tc>
          <w:tcPr>
            <w:tcW w:w="1651" w:type="dxa"/>
            <w:gridSpan w:val="2"/>
            <w:vAlign w:val="top"/>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rPr>
            </w:pP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default" w:ascii="仿宋_GB2312" w:eastAsia="仿宋_GB2312" w:cs="仿宋_GB2312"/>
          <w:i w:val="0"/>
          <w:iCs w:val="0"/>
          <w:caps w:val="0"/>
          <w:color w:val="000000"/>
          <w:spacing w:val="0"/>
          <w:sz w:val="24"/>
          <w:szCs w:val="24"/>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说明：1.分值设定100分，其中预算执行率10分、产出指标50分、效益指标30分、满意度指标10分。除预算执行率外的指标应根据权重自行合理设定分值。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both"/>
        <w:textAlignment w:val="auto"/>
        <w:rPr>
          <w:rFonts w:hint="default" w:ascii="仿宋_GB2312" w:eastAsia="仿宋_GB2312" w:cs="仿宋_GB2312"/>
          <w:i w:val="0"/>
          <w:iCs w:val="0"/>
          <w:caps w:val="0"/>
          <w:color w:val="000000"/>
          <w:spacing w:val="0"/>
          <w:sz w:val="24"/>
          <w:szCs w:val="24"/>
          <w:shd w:val="clear" w:fill="FFFFFF"/>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2.综合评价等级分为优秀（</w:t>
      </w:r>
      <w:r>
        <w:rPr>
          <w:rFonts w:hint="eastAsia" w:ascii="仿宋_GB2312" w:eastAsia="仿宋_GB2312" w:cs="仿宋_GB2312"/>
          <w:i w:val="0"/>
          <w:iCs w:val="0"/>
          <w:caps w:val="0"/>
          <w:color w:val="000000"/>
          <w:spacing w:val="0"/>
          <w:sz w:val="24"/>
          <w:szCs w:val="24"/>
          <w:shd w:val="clear" w:fill="FFFFFF"/>
          <w:lang w:val="en-US" w:eastAsia="zh-CN"/>
        </w:rPr>
        <w:t>大于</w:t>
      </w:r>
      <w:r>
        <w:rPr>
          <w:rFonts w:hint="default" w:ascii="仿宋_GB2312" w:eastAsia="仿宋_GB2312" w:cs="仿宋_GB2312"/>
          <w:i w:val="0"/>
          <w:iCs w:val="0"/>
          <w:caps w:val="0"/>
          <w:color w:val="000000"/>
          <w:spacing w:val="0"/>
          <w:sz w:val="24"/>
          <w:szCs w:val="24"/>
          <w:shd w:val="clear" w:fill="FFFFFF"/>
        </w:rPr>
        <w:t>90</w:t>
      </w:r>
      <w:r>
        <w:rPr>
          <w:rFonts w:hint="eastAsia" w:ascii="仿宋_GB2312" w:eastAsia="仿宋_GB2312" w:cs="仿宋_GB2312"/>
          <w:i w:val="0"/>
          <w:iCs w:val="0"/>
          <w:caps w:val="0"/>
          <w:color w:val="000000"/>
          <w:spacing w:val="0"/>
          <w:sz w:val="24"/>
          <w:szCs w:val="24"/>
          <w:shd w:val="clear" w:fill="FFFFFF"/>
          <w:lang w:val="en-US" w:eastAsia="zh-CN"/>
        </w:rPr>
        <w:t>分</w:t>
      </w:r>
      <w:r>
        <w:rPr>
          <w:rFonts w:hint="default" w:ascii="仿宋_GB2312" w:eastAsia="仿宋_GB2312" w:cs="仿宋_GB2312"/>
          <w:i w:val="0"/>
          <w:iCs w:val="0"/>
          <w:caps w:val="0"/>
          <w:color w:val="000000"/>
          <w:spacing w:val="0"/>
          <w:sz w:val="24"/>
          <w:szCs w:val="24"/>
          <w:shd w:val="clear" w:fill="FFFFFF"/>
        </w:rPr>
        <w:t>）、良好（</w:t>
      </w:r>
      <w:r>
        <w:rPr>
          <w:rFonts w:hint="eastAsia" w:ascii="仿宋_GB2312" w:eastAsia="仿宋_GB2312" w:cs="仿宋_GB2312"/>
          <w:i w:val="0"/>
          <w:iCs w:val="0"/>
          <w:caps w:val="0"/>
          <w:color w:val="000000"/>
          <w:spacing w:val="0"/>
          <w:sz w:val="24"/>
          <w:szCs w:val="24"/>
          <w:shd w:val="clear" w:fill="FFFFFF"/>
          <w:lang w:val="en-US" w:eastAsia="zh-CN"/>
        </w:rPr>
        <w:t>80-90分</w:t>
      </w:r>
      <w:r>
        <w:rPr>
          <w:rFonts w:hint="default" w:ascii="仿宋_GB2312" w:eastAsia="仿宋_GB2312" w:cs="仿宋_GB2312"/>
          <w:i w:val="0"/>
          <w:iCs w:val="0"/>
          <w:caps w:val="0"/>
          <w:color w:val="000000"/>
          <w:spacing w:val="0"/>
          <w:sz w:val="24"/>
          <w:szCs w:val="24"/>
          <w:shd w:val="clear" w:fill="FFFFFF"/>
        </w:rPr>
        <w:t>）、较差（</w:t>
      </w:r>
      <w:r>
        <w:rPr>
          <w:rFonts w:hint="eastAsia" w:ascii="仿宋_GB2312" w:eastAsia="仿宋_GB2312" w:cs="仿宋_GB2312"/>
          <w:i w:val="0"/>
          <w:iCs w:val="0"/>
          <w:caps w:val="0"/>
          <w:color w:val="000000"/>
          <w:spacing w:val="0"/>
          <w:sz w:val="24"/>
          <w:szCs w:val="24"/>
          <w:shd w:val="clear" w:fill="FFFFFF"/>
          <w:lang w:val="en-US" w:eastAsia="zh-CN"/>
        </w:rPr>
        <w:t>60-80分</w:t>
      </w:r>
      <w:r>
        <w:rPr>
          <w:rFonts w:hint="default" w:ascii="仿宋_GB2312" w:eastAsia="仿宋_GB2312" w:cs="仿宋_GB2312"/>
          <w:i w:val="0"/>
          <w:iCs w:val="0"/>
          <w:caps w:val="0"/>
          <w:color w:val="000000"/>
          <w:spacing w:val="0"/>
          <w:sz w:val="24"/>
          <w:szCs w:val="24"/>
          <w:shd w:val="clear" w:fill="FFFFFF"/>
        </w:rPr>
        <w:t>）、 差（</w:t>
      </w:r>
      <w:r>
        <w:rPr>
          <w:rFonts w:hint="eastAsia" w:ascii="仿宋_GB2312" w:eastAsia="仿宋_GB2312" w:cs="仿宋_GB2312"/>
          <w:i w:val="0"/>
          <w:iCs w:val="0"/>
          <w:caps w:val="0"/>
          <w:color w:val="000000"/>
          <w:spacing w:val="0"/>
          <w:sz w:val="24"/>
          <w:szCs w:val="24"/>
          <w:shd w:val="clear" w:fill="FFFFFF"/>
          <w:lang w:val="en-US" w:eastAsia="zh-CN"/>
        </w:rPr>
        <w:t>小于60分</w:t>
      </w:r>
      <w:r>
        <w:rPr>
          <w:rFonts w:hint="default" w:ascii="仿宋_GB2312" w:eastAsia="仿宋_GB2312" w:cs="仿宋_GB2312"/>
          <w:i w:val="0"/>
          <w:iCs w:val="0"/>
          <w:caps w:val="0"/>
          <w:color w:val="000000"/>
          <w:spacing w:val="0"/>
          <w:sz w:val="24"/>
          <w:szCs w:val="24"/>
          <w:shd w:val="clear" w:fill="FFFFFF"/>
        </w:rPr>
        <w:t>）</w:t>
      </w:r>
      <w:r>
        <w:rPr>
          <w:rFonts w:ascii="Calibri" w:hAnsi="Calibri" w:eastAsia="仿宋_GB2312" w:cs="Calibri"/>
          <w:i w:val="0"/>
          <w:iCs w:val="0"/>
          <w:caps w:val="0"/>
          <w:color w:val="000000"/>
          <w:spacing w:val="0"/>
          <w:sz w:val="24"/>
          <w:szCs w:val="24"/>
          <w:shd w:val="clear" w:fill="FFFFFF"/>
        </w:rPr>
        <w:t>。</w:t>
      </w:r>
      <w:r>
        <w:rPr>
          <w:rFonts w:hint="default" w:ascii="仿宋_GB2312" w:eastAsia="仿宋_GB2312" w:cs="仿宋_GB2312"/>
          <w:i w:val="0"/>
          <w:iCs w:val="0"/>
          <w:caps w:val="0"/>
          <w:color w:val="000000"/>
          <w:spacing w:val="0"/>
          <w:sz w:val="24"/>
          <w:szCs w:val="24"/>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firstLine="480" w:firstLineChars="200"/>
        <w:jc w:val="both"/>
        <w:textAlignment w:val="auto"/>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3.三级绩效指标按需自行增减行。个别不涉及的二级指标可删除不要。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7AF9F"/>
    <w:multiLevelType w:val="singleLevel"/>
    <w:tmpl w:val="6437AF9F"/>
    <w:lvl w:ilvl="0" w:tentative="0">
      <w:start w:val="2"/>
      <w:numFmt w:val="decimal"/>
      <w:suff w:val="nothing"/>
      <w:lvlText w:val="%1."/>
      <w:lvlJc w:val="left"/>
    </w:lvl>
  </w:abstractNum>
  <w:abstractNum w:abstractNumId="1">
    <w:nsid w:val="6437B2F5"/>
    <w:multiLevelType w:val="singleLevel"/>
    <w:tmpl w:val="6437B2F5"/>
    <w:lvl w:ilvl="0" w:tentative="0">
      <w:start w:val="2"/>
      <w:numFmt w:val="decimal"/>
      <w:suff w:val="nothing"/>
      <w:lvlText w:val="(%1)"/>
      <w:lvlJc w:val="left"/>
    </w:lvl>
  </w:abstractNum>
  <w:abstractNum w:abstractNumId="2">
    <w:nsid w:val="6437B5D4"/>
    <w:multiLevelType w:val="singleLevel"/>
    <w:tmpl w:val="6437B5D4"/>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kOWNiNGQwMTIzYzIwMDE1MzlhMTQ5MzZlODY1MmIifQ=="/>
  </w:docVars>
  <w:rsids>
    <w:rsidRoot w:val="2DF5249B"/>
    <w:rsid w:val="0474173F"/>
    <w:rsid w:val="078753AA"/>
    <w:rsid w:val="0BA07AC9"/>
    <w:rsid w:val="2D3D0673"/>
    <w:rsid w:val="2DF5249B"/>
    <w:rsid w:val="30C055D6"/>
    <w:rsid w:val="3439345C"/>
    <w:rsid w:val="34732521"/>
    <w:rsid w:val="44D57984"/>
    <w:rsid w:val="4FA43DF4"/>
    <w:rsid w:val="5C2169A8"/>
    <w:rsid w:val="5C932D85"/>
    <w:rsid w:val="638C4EC0"/>
    <w:rsid w:val="66FA2FC2"/>
    <w:rsid w:val="6B065843"/>
    <w:rsid w:val="73484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1981</Words>
  <Characters>2202</Characters>
  <Lines>0</Lines>
  <Paragraphs>0</Paragraphs>
  <TotalTime>8</TotalTime>
  <ScaleCrop>false</ScaleCrop>
  <LinksUpToDate>false</LinksUpToDate>
  <CharactersWithSpaces>2303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2023-02-08T03:12:00Z</dcterms:created>
  <dc:creator>沉淀之岁月</dc:creator>
  <cp:lastModifiedBy>刘朝辉</cp:lastModifiedBy>
  <dcterms:modified xsi:type="dcterms:W3CDTF">2023-08-03T08:58:05Z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2842688877F749C0960CD2765DB308F0</vt:lpwstr>
  </property>
</Properties>
</file>